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rPr>
          <w:rFonts w:eastAsia="Times New Roman" w:cs="Times New Roman"/>
          <w:kern w:val="0"/>
          <w:sz w:val="22"/>
          <w:szCs w:val="22"/>
          <w:lang w:eastAsia="hu-HU" w:bidi="ar-SA"/>
        </w:rPr>
      </w:pPr>
      <w:r>
        <w:rPr>
          <w:rFonts w:eastAsia="Times New Roman" w:cs="Times New Roman"/>
          <w:kern w:val="0"/>
          <w:sz w:val="22"/>
          <w:szCs w:val="22"/>
          <w:u w:val="single"/>
          <w:lang w:eastAsia="hu-HU" w:bidi="ar-SA"/>
        </w:rPr>
        <w:t>Előterjesztő:</w:t>
      </w:r>
      <w:r>
        <w:rPr>
          <w:rFonts w:eastAsia="Times New Roman" w:cs="Times New Roman"/>
          <w:kern w:val="0"/>
          <w:sz w:val="22"/>
          <w:szCs w:val="22"/>
          <w:lang w:eastAsia="hu-HU" w:bidi="ar-SA"/>
        </w:rPr>
        <w:t xml:space="preserve"> Toma Richárd polgármester </w:t>
      </w:r>
    </w:p>
    <w:p>
      <w:pPr>
        <w:pStyle w:val="Normal"/>
        <w:suppressAutoHyphens w:val="false"/>
        <w:rPr>
          <w:rFonts w:eastAsia="Times New Roman" w:cs="Times New Roman"/>
          <w:kern w:val="0"/>
          <w:sz w:val="22"/>
          <w:szCs w:val="22"/>
          <w:lang w:eastAsia="hu-HU" w:bidi="ar-SA"/>
        </w:rPr>
      </w:pPr>
      <w:r>
        <w:rPr>
          <w:rFonts w:eastAsia="Times New Roman" w:cs="Times New Roman"/>
          <w:kern w:val="0"/>
          <w:sz w:val="22"/>
          <w:szCs w:val="22"/>
          <w:u w:val="single"/>
          <w:lang w:eastAsia="hu-HU" w:bidi="ar-SA"/>
        </w:rPr>
        <w:t>Előterjesztést készítette:</w:t>
      </w:r>
      <w:r>
        <w:rPr>
          <w:rFonts w:eastAsia="Times New Roman" w:cs="Times New Roman"/>
          <w:kern w:val="0"/>
          <w:sz w:val="22"/>
          <w:szCs w:val="22"/>
          <w:lang w:eastAsia="hu-HU" w:bidi="ar-SA"/>
        </w:rPr>
        <w:t xml:space="preserve"> Kocsisné Balázs Mónika aljegyző</w:t>
      </w:r>
    </w:p>
    <w:p>
      <w:pPr>
        <w:pStyle w:val="Normal"/>
        <w:suppressAutoHyphens w:val="false"/>
        <w:jc w:val="both"/>
        <w:rPr>
          <w:rFonts w:eastAsia="Times New Roman" w:cs="Times New Roman"/>
          <w:kern w:val="0"/>
          <w:sz w:val="22"/>
          <w:szCs w:val="22"/>
          <w:lang w:eastAsia="hu-HU" w:bidi="ar-SA"/>
        </w:rPr>
      </w:pPr>
      <w:r>
        <w:rPr>
          <w:rFonts w:eastAsia="Times New Roman" w:cs="Times New Roman"/>
          <w:kern w:val="0"/>
          <w:sz w:val="22"/>
          <w:szCs w:val="22"/>
          <w:u w:val="single"/>
          <w:lang w:eastAsia="hu-HU" w:bidi="ar-SA"/>
        </w:rPr>
        <w:t>Előzetesen tárgyalja:</w:t>
      </w:r>
      <w:r>
        <w:rPr>
          <w:rFonts w:eastAsia="Times New Roman" w:cs="Times New Roman"/>
          <w:kern w:val="0"/>
          <w:sz w:val="22"/>
          <w:szCs w:val="22"/>
          <w:lang w:eastAsia="hu-HU" w:bidi="ar-SA"/>
        </w:rPr>
        <w:t xml:space="preserve"> -</w:t>
      </w:r>
    </w:p>
    <w:p>
      <w:pPr>
        <w:pStyle w:val="Normal"/>
        <w:suppressAutoHyphens w:val="false"/>
        <w:rPr>
          <w:rFonts w:eastAsia="Times New Roman" w:cs="Times New Roman"/>
          <w:kern w:val="0"/>
          <w:sz w:val="22"/>
          <w:szCs w:val="22"/>
          <w:lang w:eastAsia="hu-HU" w:bidi="ar-SA"/>
        </w:rPr>
      </w:pPr>
      <w:r>
        <w:rPr>
          <w:rFonts w:eastAsia="Times New Roman" w:cs="Times New Roman"/>
          <w:kern w:val="0"/>
          <w:sz w:val="22"/>
          <w:szCs w:val="22"/>
          <w:u w:val="single"/>
          <w:lang w:eastAsia="hu-HU" w:bidi="ar-SA"/>
        </w:rPr>
        <w:t>Mellékletek:</w:t>
      </w:r>
      <w:r>
        <w:rPr>
          <w:rFonts w:eastAsia="Times New Roman" w:cs="Times New Roman"/>
          <w:kern w:val="0"/>
          <w:sz w:val="22"/>
          <w:szCs w:val="22"/>
          <w:lang w:eastAsia="hu-HU" w:bidi="ar-SA"/>
        </w:rPr>
        <w:t xml:space="preserve"> </w:t>
      </w:r>
    </w:p>
    <w:p>
      <w:pPr>
        <w:pStyle w:val="Normal"/>
        <w:numPr>
          <w:ilvl w:val="0"/>
          <w:numId w:val="2"/>
        </w:numPr>
        <w:suppressAutoHyphens w:val="false"/>
        <w:ind w:left="360" w:hanging="36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1. melléklet – rendelet-tervezet</w:t>
      </w:r>
    </w:p>
    <w:p>
      <w:pPr>
        <w:pStyle w:val="Normal"/>
        <w:numPr>
          <w:ilvl w:val="0"/>
          <w:numId w:val="2"/>
        </w:numPr>
        <w:suppressAutoHyphens w:val="false"/>
        <w:ind w:left="360" w:hanging="36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2. melléklet – rendelet-tervezet melléklete</w:t>
      </w:r>
    </w:p>
    <w:p>
      <w:pPr>
        <w:pStyle w:val="Normal"/>
        <w:suppressAutoHyphens w:val="false"/>
        <w:rPr>
          <w:rFonts w:eastAsia="Times New Roman" w:cs="Times New Roman"/>
          <w:kern w:val="0"/>
          <w:sz w:val="22"/>
          <w:szCs w:val="22"/>
          <w:lang w:eastAsia="hu-HU" w:bidi="ar-SA"/>
        </w:rPr>
      </w:pPr>
      <w:r>
        <w:rPr>
          <w:rFonts w:eastAsia="Times New Roman" w:cs="Times New Roman"/>
          <w:kern w:val="0"/>
          <w:sz w:val="22"/>
          <w:szCs w:val="22"/>
          <w:u w:val="single"/>
          <w:lang w:eastAsia="hu-HU" w:bidi="ar-SA"/>
        </w:rPr>
        <w:t>Elfogadás módja:</w:t>
      </w:r>
      <w:r>
        <w:rPr>
          <w:rFonts w:eastAsia="Times New Roman" w:cs="Times New Roman"/>
          <w:kern w:val="0"/>
          <w:sz w:val="22"/>
          <w:szCs w:val="22"/>
          <w:lang w:eastAsia="hu-HU" w:bidi="ar-SA"/>
        </w:rPr>
        <w:t xml:space="preserve"> minősített többség</w:t>
      </w:r>
    </w:p>
    <w:p>
      <w:pPr>
        <w:pStyle w:val="Normal"/>
        <w:suppressAutoHyphens w:val="false"/>
        <w:jc w:val="both"/>
        <w:rPr>
          <w:rFonts w:eastAsia="Times New Roman" w:cs="Times New Roman"/>
          <w:kern w:val="0"/>
          <w:sz w:val="22"/>
          <w:szCs w:val="22"/>
          <w:u w:val="single"/>
          <w:lang w:eastAsia="hu-HU" w:bidi="ar-SA"/>
        </w:rPr>
      </w:pPr>
      <w:r>
        <w:rPr>
          <w:rFonts w:eastAsia="Times New Roman" w:cs="Times New Roman"/>
          <w:kern w:val="0"/>
          <w:sz w:val="22"/>
          <w:szCs w:val="22"/>
          <w:u w:val="single"/>
          <w:lang w:eastAsia="hu-HU" w:bidi="ar-SA"/>
        </w:rPr>
        <w:t>Tárgykört rendező jogszabályok:</w:t>
      </w:r>
    </w:p>
    <w:p>
      <w:pPr>
        <w:pStyle w:val="Normal"/>
        <w:numPr>
          <w:ilvl w:val="0"/>
          <w:numId w:val="2"/>
        </w:numPr>
        <w:suppressAutoHyphens w:val="false"/>
        <w:ind w:left="360" w:hanging="36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Magyarország Alaptörvénye</w:t>
      </w:r>
    </w:p>
    <w:p>
      <w:pPr>
        <w:pStyle w:val="Normal"/>
        <w:numPr>
          <w:ilvl w:val="0"/>
          <w:numId w:val="2"/>
        </w:numPr>
        <w:suppressAutoHyphens w:val="false"/>
        <w:ind w:left="360" w:hanging="36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Magyarország helyi önkormányzatairól szóló 2011. évi CLXXXIX. törvény (Mötv.),</w:t>
      </w:r>
    </w:p>
    <w:p>
      <w:pPr>
        <w:pStyle w:val="Normal"/>
        <w:suppressAutoHyphens w:val="false"/>
        <w:ind w:left="360" w:hanging="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r>
    </w:p>
    <w:p>
      <w:pPr>
        <w:pStyle w:val="Normal"/>
        <w:numPr>
          <w:ilvl w:val="0"/>
          <w:numId w:val="0"/>
        </w:numPr>
        <w:suppressAutoHyphens w:val="false"/>
        <w:jc w:val="center"/>
        <w:outlineLvl w:val="0"/>
        <w:rPr>
          <w:rFonts w:eastAsia="Times New Roman" w:cs="Times New Roman"/>
          <w:b/>
          <w:kern w:val="0"/>
          <w:sz w:val="36"/>
          <w:szCs w:val="36"/>
          <w:lang w:eastAsia="hu-HU" w:bidi="ar-SA"/>
        </w:rPr>
      </w:pPr>
      <w:r>
        <w:rPr>
          <w:rFonts w:eastAsia="Times New Roman" w:cs="Times New Roman"/>
          <w:b/>
          <w:kern w:val="0"/>
          <w:sz w:val="36"/>
          <w:szCs w:val="36"/>
          <w:lang w:eastAsia="hu-HU" w:bidi="ar-SA"/>
        </w:rPr>
      </w:r>
    </w:p>
    <w:p>
      <w:pPr>
        <w:pStyle w:val="Normal"/>
        <w:numPr>
          <w:ilvl w:val="0"/>
          <w:numId w:val="0"/>
        </w:numPr>
        <w:suppressAutoHyphens w:val="false"/>
        <w:jc w:val="center"/>
        <w:outlineLvl w:val="0"/>
        <w:rPr>
          <w:rFonts w:eastAsia="Times New Roman" w:cs="Times New Roman"/>
          <w:b/>
          <w:kern w:val="0"/>
          <w:sz w:val="36"/>
          <w:szCs w:val="36"/>
          <w:lang w:eastAsia="hu-HU" w:bidi="ar-SA"/>
        </w:rPr>
      </w:pPr>
      <w:r>
        <w:rPr>
          <w:rFonts w:eastAsia="Times New Roman" w:cs="Times New Roman"/>
          <w:b/>
          <w:kern w:val="0"/>
          <w:sz w:val="36"/>
          <w:szCs w:val="36"/>
          <w:lang w:eastAsia="hu-HU" w:bidi="ar-SA"/>
        </w:rPr>
        <w:t>Előterjesztés</w:t>
      </w:r>
    </w:p>
    <w:p>
      <w:pPr>
        <w:pStyle w:val="Normal"/>
        <w:numPr>
          <w:ilvl w:val="0"/>
          <w:numId w:val="0"/>
        </w:numPr>
        <w:suppressAutoHyphens w:val="false"/>
        <w:jc w:val="center"/>
        <w:outlineLvl w:val="0"/>
        <w:rPr>
          <w:rFonts w:eastAsia="Times New Roman" w:cs="Times New Roman"/>
          <w:b/>
          <w:kern w:val="0"/>
          <w:sz w:val="32"/>
          <w:szCs w:val="32"/>
          <w:lang w:eastAsia="hu-HU" w:bidi="ar-SA"/>
        </w:rPr>
      </w:pPr>
      <w:r>
        <w:rPr>
          <w:rFonts w:eastAsia="Times New Roman" w:cs="Times New Roman"/>
          <w:b/>
          <w:kern w:val="0"/>
          <w:sz w:val="32"/>
          <w:szCs w:val="32"/>
          <w:lang w:eastAsia="hu-HU" w:bidi="ar-SA"/>
        </w:rPr>
        <w:t>a banai gyermekek életkezdéséről és a Banai Életfáról szóló helyi rendelet megalkotásáról</w:t>
      </w:r>
    </w:p>
    <w:p>
      <w:pPr>
        <w:pStyle w:val="Normal"/>
        <w:suppressAutoHyphens w:val="false"/>
        <w:spacing w:before="480" w:after="0"/>
        <w:jc w:val="both"/>
        <w:rPr>
          <w:rFonts w:eastAsia="Times New Roman" w:cs="Times New Roman"/>
          <w:b/>
          <w:kern w:val="0"/>
          <w:sz w:val="22"/>
          <w:szCs w:val="22"/>
          <w:lang w:eastAsia="hu-HU" w:bidi="ar-SA"/>
        </w:rPr>
      </w:pPr>
      <w:r>
        <w:rPr>
          <w:rFonts w:eastAsia="Times New Roman" w:cs="Times New Roman"/>
          <w:b/>
          <w:kern w:val="0"/>
          <w:sz w:val="22"/>
          <w:szCs w:val="22"/>
          <w:lang w:eastAsia="hu-HU" w:bidi="ar-SA"/>
        </w:rPr>
        <w:t>Tisztelt Képviselő-testület!</w:t>
      </w:r>
    </w:p>
    <w:p>
      <w:pPr>
        <w:pStyle w:val="Normal"/>
        <w:suppressAutoHyphens w:val="false"/>
        <w:jc w:val="both"/>
        <w:rPr>
          <w:rFonts w:eastAsia="Times New Roman" w:cs="Times New Roman"/>
          <w:b/>
          <w:kern w:val="0"/>
          <w:sz w:val="22"/>
          <w:szCs w:val="22"/>
          <w:lang w:eastAsia="hu-HU" w:bidi="ar-SA"/>
        </w:rPr>
      </w:pPr>
      <w:r>
        <w:rPr>
          <w:rFonts w:eastAsia="Times New Roman" w:cs="Times New Roman"/>
          <w:b/>
          <w:kern w:val="0"/>
          <w:sz w:val="22"/>
          <w:szCs w:val="22"/>
          <w:lang w:eastAsia="hu-HU" w:bidi="ar-SA"/>
        </w:rPr>
        <w:t>Tisztelt Pénzügyi és Településfejlesztési Bizottság!</w:t>
      </w:r>
    </w:p>
    <w:p>
      <w:pPr>
        <w:pStyle w:val="Normal"/>
        <w:suppressAutoHyphens w:val="false"/>
        <w:spacing w:before="0" w:after="240"/>
        <w:jc w:val="both"/>
        <w:rPr>
          <w:rFonts w:eastAsia="Times New Roman" w:cs="Times New Roman"/>
          <w:b/>
          <w:kern w:val="0"/>
          <w:sz w:val="22"/>
          <w:szCs w:val="22"/>
          <w:lang w:eastAsia="hu-HU" w:bidi="ar-SA"/>
        </w:rPr>
      </w:pPr>
      <w:r>
        <w:rPr>
          <w:rFonts w:eastAsia="Times New Roman" w:cs="Times New Roman"/>
          <w:b/>
          <w:kern w:val="0"/>
          <w:sz w:val="22"/>
          <w:szCs w:val="22"/>
          <w:lang w:eastAsia="hu-HU" w:bidi="ar-SA"/>
        </w:rPr>
      </w:r>
    </w:p>
    <w:p>
      <w:pPr>
        <w:pStyle w:val="Normal"/>
        <w:suppressAutoHyphens w:val="false"/>
        <w:spacing w:before="120" w:after="120"/>
        <w:jc w:val="both"/>
        <w:rPr>
          <w:rFonts w:eastAsia="Times New Roman" w:cs="Times New Roman"/>
          <w:bCs/>
          <w:kern w:val="0"/>
          <w:lang w:eastAsia="hu-HU" w:bidi="ar-SA"/>
        </w:rPr>
      </w:pPr>
      <w:r>
        <w:rPr>
          <w:rFonts w:eastAsia="Times New Roman" w:cs="Times New Roman"/>
          <w:kern w:val="0"/>
          <w:lang w:eastAsia="hu-HU" w:bidi="ar-SA"/>
        </w:rPr>
        <w:t>Bana Község Önkormányzat Pénzügyi- és Településfejlesztési Bizottsága a 36/2023.(IV.19.) számú határozatában döntött a falu központjában életfa elhelyezéséről a banai újszülött gyermekek számára.</w:t>
      </w:r>
    </w:p>
    <w:p>
      <w:pPr>
        <w:pStyle w:val="Normal"/>
        <w:suppressAutoHyphens w:val="false"/>
        <w:spacing w:before="120" w:after="120"/>
        <w:jc w:val="both"/>
        <w:rPr>
          <w:rFonts w:eastAsia="Times New Roman" w:cs="Times New Roman"/>
          <w:bCs/>
          <w:color w:val="000000"/>
          <w:kern w:val="0"/>
          <w:lang w:eastAsia="hu-HU" w:bidi="ar-SA"/>
        </w:rPr>
      </w:pPr>
      <w:r>
        <w:rPr>
          <w:rFonts w:eastAsia="Times New Roman" w:cs="Times New Roman"/>
          <w:bCs/>
          <w:kern w:val="0"/>
          <w:lang w:eastAsia="hu-HU" w:bidi="ar-SA"/>
        </w:rPr>
        <w:t>A rendelet-tervezet szabályozza, hogy a Banai Életfára a banai gyermekek neve kerül fel minden évben, a rendeletben való feltételeknek megfelelve.</w:t>
      </w:r>
    </w:p>
    <w:p>
      <w:pPr>
        <w:pStyle w:val="Normal"/>
        <w:suppressAutoHyphens w:val="false"/>
        <w:spacing w:before="120" w:after="120"/>
        <w:jc w:val="both"/>
        <w:rPr>
          <w:rFonts w:eastAsia="Times New Roman" w:cs="Times New Roman"/>
          <w:bCs/>
          <w:kern w:val="0"/>
          <w:lang w:eastAsia="hu-HU" w:bidi="ar-SA"/>
        </w:rPr>
      </w:pPr>
      <w:r>
        <w:rPr>
          <w:rFonts w:eastAsia="Times New Roman" w:cs="Times New Roman"/>
          <w:bCs/>
          <w:color w:val="000000"/>
          <w:kern w:val="0"/>
          <w:lang w:eastAsia="hu-HU" w:bidi="ar-SA"/>
        </w:rPr>
        <w:t>A 2023. január 1. napját követően a rendelet-tervezetben foglalt feltételeknek megfelelő banai gyermekek 10.000 Ft értékű ajándékcsomagot kaphatnak.</w:t>
      </w:r>
    </w:p>
    <w:p>
      <w:pPr>
        <w:pStyle w:val="Normal"/>
        <w:suppressAutoHyphens w:val="false"/>
        <w:spacing w:before="120" w:after="240"/>
        <w:jc w:val="both"/>
        <w:rPr>
          <w:rFonts w:eastAsia="Times New Roman" w:cs="Times New Roman"/>
          <w:kern w:val="0"/>
          <w:szCs w:val="20"/>
          <w:u w:val="single"/>
          <w:lang w:eastAsia="hu-HU" w:bidi="ar-SA"/>
        </w:rPr>
      </w:pPr>
      <w:r>
        <w:rPr>
          <w:rFonts w:eastAsia="Times New Roman" w:cs="Times New Roman"/>
          <w:kern w:val="0"/>
          <w:szCs w:val="20"/>
          <w:u w:val="single"/>
          <w:lang w:eastAsia="hu-HU" w:bidi="ar-SA"/>
        </w:rPr>
        <w:t>Előzetes hatásvizsgálat</w:t>
      </w:r>
    </w:p>
    <w:p>
      <w:pPr>
        <w:pStyle w:val="Normal"/>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A jogalkotásról szóló 2010. évi CXXX. törvény (Jat.) 17. §-18. §-ai előzetes hatásvizsgálatot és indokolási kötelezettséget írnak elő. A hatásvizsgálat során vizsgálni kell</w:t>
      </w:r>
    </w:p>
    <w:p>
      <w:pPr>
        <w:pStyle w:val="Normal"/>
        <w:numPr>
          <w:ilvl w:val="0"/>
          <w:numId w:val="4"/>
        </w:numPr>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a tervezett jogszabály valamennyi jelentősnek ítélt hatását, különösen</w:t>
      </w:r>
    </w:p>
    <w:p>
      <w:pPr>
        <w:pStyle w:val="Normal"/>
        <w:numPr>
          <w:ilvl w:val="1"/>
          <w:numId w:val="4"/>
        </w:numPr>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társadalmi, gazdasági, költségvetési hatásait,</w:t>
      </w:r>
    </w:p>
    <w:p>
      <w:pPr>
        <w:pStyle w:val="Normal"/>
        <w:numPr>
          <w:ilvl w:val="1"/>
          <w:numId w:val="4"/>
        </w:numPr>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környezeti és egészségi következményeit,</w:t>
      </w:r>
    </w:p>
    <w:p>
      <w:pPr>
        <w:pStyle w:val="Normal"/>
        <w:numPr>
          <w:ilvl w:val="1"/>
          <w:numId w:val="4"/>
        </w:numPr>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adminisztratív terheket befolyásoló hatásait, valamint</w:t>
      </w:r>
    </w:p>
    <w:p>
      <w:pPr>
        <w:pStyle w:val="Normal"/>
        <w:numPr>
          <w:ilvl w:val="0"/>
          <w:numId w:val="4"/>
        </w:numPr>
        <w:suppressAutoHyphens w:val="false"/>
        <w:spacing w:before="0" w:after="20"/>
        <w:jc w:val="both"/>
        <w:rPr>
          <w:rFonts w:eastAsia="Times New Roman" w:cs="Times New Roman"/>
          <w:kern w:val="0"/>
          <w:szCs w:val="20"/>
          <w:lang w:eastAsia="hu-HU" w:bidi="ar-SA"/>
        </w:rPr>
      </w:pPr>
      <w:r>
        <w:rPr>
          <w:rFonts w:eastAsia="Times New Roman" w:cs="Times New Roman"/>
          <w:kern w:val="0"/>
          <w:szCs w:val="20"/>
          <w:lang w:eastAsia="hu-HU" w:bidi="ar-SA"/>
        </w:rPr>
        <w:t>a jogszabály megalkotásának szükségességét, a jogalkotás elmaradásának várható következményeit, és</w:t>
      </w:r>
    </w:p>
    <w:p>
      <w:pPr>
        <w:pStyle w:val="Normal"/>
        <w:numPr>
          <w:ilvl w:val="0"/>
          <w:numId w:val="4"/>
        </w:numPr>
        <w:suppressAutoHyphens w:val="false"/>
        <w:spacing w:before="0" w:after="120"/>
        <w:ind w:left="714" w:hanging="357"/>
        <w:jc w:val="both"/>
        <w:rPr>
          <w:rFonts w:eastAsia="Times New Roman" w:cs="Times New Roman"/>
          <w:kern w:val="0"/>
          <w:szCs w:val="20"/>
          <w:lang w:eastAsia="hu-HU" w:bidi="ar-SA"/>
        </w:rPr>
      </w:pPr>
      <w:r>
        <w:rPr>
          <w:rFonts w:eastAsia="Times New Roman" w:cs="Times New Roman"/>
          <w:kern w:val="0"/>
          <w:szCs w:val="20"/>
          <w:lang w:eastAsia="hu-HU" w:bidi="ar-SA"/>
        </w:rPr>
        <w:t>a jogszabály alkalmazásához szükséges személyi, szervezeti, tárgyi és pénzügyi feltételeket.</w:t>
      </w:r>
    </w:p>
    <w:tbl>
      <w:tblPr>
        <w:tblW w:w="92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95"/>
        <w:gridCol w:w="3095"/>
        <w:gridCol w:w="3096"/>
      </w:tblGrid>
      <w:tr>
        <w:trPr/>
        <w:tc>
          <w:tcPr>
            <w:tcW w:w="92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center"/>
              <w:rPr>
                <w:rFonts w:eastAsia="Times New Roman" w:cs="Times New Roman"/>
                <w:kern w:val="0"/>
                <w:szCs w:val="20"/>
                <w:lang w:eastAsia="hu-HU" w:bidi="ar-SA"/>
              </w:rPr>
            </w:pPr>
            <w:r>
              <w:rPr>
                <w:rFonts w:eastAsia="Times New Roman" w:cs="Times New Roman"/>
                <w:kern w:val="0"/>
                <w:szCs w:val="20"/>
                <w:lang w:eastAsia="hu-HU" w:bidi="ar-SA"/>
              </w:rPr>
              <w:t>1. A tervezett jogszabály valamennyi jelentősnek ítélt hatása</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both"/>
              <w:rPr>
                <w:rFonts w:eastAsia="Times New Roman" w:cs="Times New Roman"/>
                <w:kern w:val="0"/>
                <w:szCs w:val="20"/>
                <w:lang w:eastAsia="hu-HU" w:bidi="ar-SA"/>
              </w:rPr>
            </w:pPr>
            <w:r>
              <w:rPr>
                <w:rFonts w:eastAsia="Times New Roman" w:cs="Times New Roman"/>
                <w:kern w:val="0"/>
                <w:szCs w:val="20"/>
                <w:lang w:eastAsia="hu-HU" w:bidi="ar-SA"/>
              </w:rPr>
              <w:t>a. társadalmi, gazdasági, költségvetési hatás</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both"/>
              <w:rPr>
                <w:rFonts w:eastAsia="Times New Roman" w:cs="Times New Roman"/>
                <w:kern w:val="0"/>
                <w:szCs w:val="20"/>
                <w:lang w:eastAsia="hu-HU" w:bidi="ar-SA"/>
              </w:rPr>
            </w:pPr>
            <w:r>
              <w:rPr>
                <w:rFonts w:eastAsia="Times New Roman" w:cs="Times New Roman"/>
                <w:kern w:val="0"/>
                <w:szCs w:val="20"/>
                <w:lang w:eastAsia="hu-HU" w:bidi="ar-SA"/>
              </w:rPr>
              <w:t>b. környezeti és egészségi következmény</w:t>
            </w:r>
          </w:p>
        </w:tc>
        <w:tc>
          <w:tcPr>
            <w:tcW w:w="3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both"/>
              <w:rPr>
                <w:rFonts w:eastAsia="Times New Roman" w:cs="Times New Roman"/>
                <w:kern w:val="0"/>
                <w:szCs w:val="20"/>
                <w:lang w:eastAsia="hu-HU" w:bidi="ar-SA"/>
              </w:rPr>
            </w:pPr>
            <w:r>
              <w:rPr>
                <w:rFonts w:eastAsia="Times New Roman" w:cs="Times New Roman"/>
                <w:kern w:val="0"/>
                <w:szCs w:val="20"/>
                <w:lang w:eastAsia="hu-HU" w:bidi="ar-SA"/>
              </w:rPr>
              <w:t>c. adminisztratív terheket befolyásoló hatás</w:t>
            </w:r>
          </w:p>
        </w:tc>
      </w:tr>
      <w:tr>
        <w:trPr/>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társadalmi hatás: a bábolnai újszülöttek támogatása növekszik</w:t>
            </w:r>
          </w:p>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gazdasági hatás: nem releváns</w:t>
            </w:r>
          </w:p>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költségvetési hatás: nem releváns</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környezeti következmény: nem releváns</w:t>
            </w:r>
          </w:p>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egészségi következmény: nem releváns</w:t>
            </w:r>
          </w:p>
        </w:tc>
        <w:tc>
          <w:tcPr>
            <w:tcW w:w="30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 xml:space="preserve">az adminisztrációs terhek nem változnak </w:t>
            </w:r>
          </w:p>
        </w:tc>
      </w:tr>
      <w:tr>
        <w:trPr/>
        <w:tc>
          <w:tcPr>
            <w:tcW w:w="92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both"/>
              <w:rPr>
                <w:rFonts w:eastAsia="Times New Roman" w:cs="Times New Roman"/>
                <w:kern w:val="0"/>
                <w:szCs w:val="20"/>
                <w:lang w:eastAsia="hu-HU" w:bidi="ar-SA"/>
              </w:rPr>
            </w:pPr>
            <w:r>
              <w:rPr>
                <w:rFonts w:eastAsia="Times New Roman" w:cs="Times New Roman"/>
                <w:kern w:val="0"/>
                <w:szCs w:val="20"/>
                <w:lang w:eastAsia="hu-HU" w:bidi="ar-SA"/>
              </w:rPr>
              <w:t>2. A jogszabály megalkotásának szükségessége, a jogalkotás elmaradásának várható következményei:</w:t>
            </w:r>
          </w:p>
        </w:tc>
      </w:tr>
      <w:tr>
        <w:trPr/>
        <w:tc>
          <w:tcPr>
            <w:tcW w:w="92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jogszabály megalkotásának szükségessége: a rendelet elfogadása lehetőség, nem kötelezettség.</w:t>
            </w:r>
          </w:p>
        </w:tc>
      </w:tr>
      <w:tr>
        <w:trPr/>
        <w:tc>
          <w:tcPr>
            <w:tcW w:w="92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120"/>
              <w:jc w:val="both"/>
              <w:rPr>
                <w:rFonts w:eastAsia="Times New Roman" w:cs="Times New Roman"/>
                <w:kern w:val="0"/>
                <w:szCs w:val="20"/>
                <w:lang w:eastAsia="hu-HU" w:bidi="ar-SA"/>
              </w:rPr>
            </w:pPr>
            <w:r>
              <w:rPr>
                <w:rFonts w:eastAsia="Times New Roman" w:cs="Times New Roman"/>
                <w:kern w:val="0"/>
                <w:szCs w:val="20"/>
                <w:lang w:eastAsia="hu-HU" w:bidi="ar-SA"/>
              </w:rPr>
              <w:t>3. Jogszabály alkalmazásához szükséges személyi, szervezeti, tárgyi és pénzügyi feltételek</w:t>
            </w:r>
          </w:p>
        </w:tc>
      </w:tr>
      <w:tr>
        <w:trPr/>
        <w:tc>
          <w:tcPr>
            <w:tcW w:w="928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uppressAutoHyphens w:val="false"/>
              <w:ind w:left="425" w:hanging="357"/>
              <w:jc w:val="both"/>
              <w:rPr>
                <w:rFonts w:eastAsia="Times New Roman" w:cs="Times New Roman"/>
                <w:kern w:val="0"/>
                <w:szCs w:val="20"/>
                <w:lang w:eastAsia="hu-HU" w:bidi="ar-SA"/>
              </w:rPr>
            </w:pPr>
            <w:r>
              <w:rPr>
                <w:rFonts w:eastAsia="Times New Roman" w:cs="Times New Roman"/>
                <w:kern w:val="0"/>
                <w:szCs w:val="20"/>
                <w:lang w:eastAsia="hu-HU" w:bidi="ar-SA"/>
              </w:rPr>
              <w:t>Az alkalmazáshoz a szükséges személyi, szervezeti, tárgyi és pénzügyi feltételek, ahogy korábban, most is rendelkezésre állnak.</w:t>
            </w:r>
          </w:p>
        </w:tc>
      </w:tr>
    </w:tbl>
    <w:p>
      <w:pPr>
        <w:pStyle w:val="Normal"/>
        <w:suppressAutoHyphens w:val="false"/>
        <w:jc w:val="both"/>
        <w:rPr>
          <w:rFonts w:eastAsia="Times New Roman" w:cs="Times New Roman"/>
          <w:kern w:val="0"/>
          <w:lang w:eastAsia="hu-HU" w:bidi="ar-SA"/>
        </w:rPr>
      </w:pPr>
      <w:r>
        <w:rPr>
          <w:rFonts w:eastAsia="Times New Roman" w:cs="Times New Roman"/>
          <w:kern w:val="0"/>
          <w:lang w:eastAsia="hu-HU" w:bidi="ar-SA"/>
        </w:rPr>
      </w:r>
    </w:p>
    <w:p>
      <w:pPr>
        <w:pStyle w:val="Normal"/>
        <w:suppressAutoHyphens w:val="false"/>
        <w:spacing w:before="120" w:after="120"/>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Kérem az előterjesztés megvitatását!</w:t>
      </w:r>
    </w:p>
    <w:p>
      <w:pPr>
        <w:pStyle w:val="Normal"/>
        <w:suppressAutoHyphens w:val="false"/>
        <w:jc w:val="both"/>
        <w:rPr>
          <w:rFonts w:eastAsia="Times New Roman" w:cs="Times New Roman"/>
          <w:kern w:val="0"/>
          <w:sz w:val="22"/>
          <w:szCs w:val="22"/>
          <w:lang w:eastAsia="hu-HU" w:bidi="ar-SA"/>
        </w:rPr>
      </w:pPr>
      <w:r>
        <w:rPr>
          <w:rFonts w:eastAsia="Times New Roman" w:cs="Times New Roman"/>
          <w:kern w:val="0"/>
          <w:sz w:val="22"/>
          <w:szCs w:val="22"/>
          <w:lang w:eastAsia="hu-HU" w:bidi="ar-SA"/>
        </w:rPr>
        <w:t>Bábolna, 2024.02.28</w:t>
      </w:r>
    </w:p>
    <w:p>
      <w:pPr>
        <w:pStyle w:val="Normal"/>
        <w:suppressAutoHyphens w:val="false"/>
        <w:ind w:left="5387" w:hanging="0"/>
        <w:jc w:val="center"/>
        <w:rPr>
          <w:rFonts w:eastAsia="Times New Roman" w:cs="Times New Roman"/>
          <w:kern w:val="0"/>
          <w:sz w:val="22"/>
          <w:szCs w:val="22"/>
          <w:lang w:eastAsia="hu-HU" w:bidi="ar-SA"/>
        </w:rPr>
      </w:pPr>
      <w:r>
        <w:rPr>
          <w:rFonts w:eastAsia="Times New Roman" w:cs="Times New Roman"/>
          <w:kern w:val="0"/>
          <w:sz w:val="22"/>
          <w:szCs w:val="22"/>
          <w:lang w:eastAsia="hu-HU" w:bidi="ar-SA"/>
        </w:rPr>
        <w:t>Toma Richárd s.k.</w:t>
      </w:r>
    </w:p>
    <w:p>
      <w:pPr>
        <w:pStyle w:val="Normal"/>
        <w:suppressAutoHyphens w:val="false"/>
        <w:ind w:left="5387" w:hanging="0"/>
        <w:jc w:val="center"/>
        <w:rPr>
          <w:rFonts w:eastAsia="Times New Roman" w:cs="Times New Roman"/>
          <w:kern w:val="0"/>
          <w:sz w:val="22"/>
          <w:szCs w:val="22"/>
          <w:lang w:eastAsia="hu-HU" w:bidi="ar-SA"/>
        </w:rPr>
      </w:pPr>
      <w:r>
        <w:rPr>
          <w:rFonts w:eastAsia="Times New Roman" w:cs="Times New Roman"/>
          <w:kern w:val="0"/>
          <w:sz w:val="22"/>
          <w:szCs w:val="22"/>
          <w:lang w:eastAsia="hu-HU" w:bidi="ar-SA"/>
        </w:rPr>
        <w:t>polgármester</w:t>
      </w:r>
    </w:p>
    <w:p>
      <w:pPr>
        <w:pStyle w:val="Normal"/>
        <w:suppressAutoHyphens w:val="false"/>
        <w:jc w:val="center"/>
        <w:rPr>
          <w:rFonts w:eastAsia="Times New Roman" w:cs="Times New Roman"/>
          <w:b/>
          <w:kern w:val="0"/>
          <w:lang w:eastAsia="hu-HU" w:bidi="ar-SA"/>
        </w:rPr>
      </w:pPr>
      <w:r>
        <w:rPr>
          <w:rFonts w:eastAsia="Times New Roman" w:cs="Times New Roman"/>
          <w:b/>
          <w:kern w:val="0"/>
          <w:lang w:eastAsia="hu-HU" w:bidi="ar-SA"/>
        </w:rPr>
      </w:r>
    </w:p>
    <w:p>
      <w:pPr>
        <w:pStyle w:val="Szvegtrzs"/>
        <w:spacing w:lineRule="auto" w:line="240" w:before="240" w:after="480"/>
        <w:jc w:val="center"/>
        <w:rPr>
          <w:b/>
          <w:bCs/>
        </w:rPr>
      </w:pPr>
      <w:r>
        <w:rPr>
          <w:b/>
          <w:bCs/>
        </w:rPr>
        <w:t>Bana Község Önkormányzata Képviselő-testületének 3/2024. (III. 13.) önkormányzati rendelete Bana Község Önkormányzat Képviselő-testületének az életkezdésről és a Banai Életfáról</w:t>
      </w:r>
    </w:p>
    <w:p>
      <w:pPr>
        <w:pStyle w:val="Szvegtrzs"/>
        <w:spacing w:lineRule="auto" w:line="240" w:before="220" w:after="0"/>
        <w:jc w:val="both"/>
        <w:rPr/>
      </w:pPr>
      <w:r>
        <w:rPr/>
        <w:t>Bana Község Önkormányzat Képviselő-testülete az Alaptörvény 32. cikk (2) bekezdésében eredeti jogalkotó hatáskörében, az Alaptörvény 32. cikk (1) bekezdés a) pontjában meghatározott feladatkörében a következőket rendeli el:</w:t>
      </w:r>
    </w:p>
    <w:p>
      <w:pPr>
        <w:pStyle w:val="Szvegtrzs"/>
        <w:spacing w:lineRule="auto" w:line="240" w:before="240" w:after="240"/>
        <w:jc w:val="center"/>
        <w:rPr>
          <w:b/>
          <w:bCs/>
        </w:rPr>
      </w:pPr>
      <w:r>
        <w:rPr>
          <w:b/>
          <w:bCs/>
        </w:rPr>
        <w:t>1. §</w:t>
      </w:r>
    </w:p>
    <w:p>
      <w:pPr>
        <w:pStyle w:val="Szvegtrzs"/>
        <w:spacing w:lineRule="auto" w:line="240" w:before="0" w:after="0"/>
        <w:rPr/>
      </w:pPr>
      <w:r>
        <w:rPr/>
        <w:t>E rendelet alkalmazásában:</w:t>
      </w:r>
    </w:p>
    <w:p>
      <w:pPr>
        <w:pStyle w:val="Szvegtrzs"/>
        <w:spacing w:lineRule="auto" w:line="240" w:before="0" w:after="0"/>
        <w:ind w:left="580" w:hanging="560"/>
        <w:jc w:val="both"/>
        <w:rPr/>
      </w:pPr>
      <w:r>
        <w:rPr>
          <w:i/>
          <w:iCs/>
        </w:rPr>
        <w:t>a)</w:t>
      </w:r>
      <w:r>
        <w:rPr/>
        <w:tab/>
        <w:t>életvitelszerű tartózkodás: egy magánszemély akkor tartózkodik életvitelszerűen egy ingatlanban, ha az számára ténylegesen életvitelszerű lakóhelyéül szolgál, onnan szervezi életét, például rendszeresen innen indul munkába vagy oktatási intézménybe, illetve ide tér haza, ott folytatja az életviteléhez szükséges tevékenységeket, mint például az étkezés, főzés, mosás, közüzemi szolgáltatásokat vesz igénybe annak kapcsán, illetve amely elsődleges elérhetőségi címeként, levelezési címeként jelenik meg a hatóságoknál, közműszolgáltatóknál.</w:t>
      </w:r>
    </w:p>
    <w:p>
      <w:pPr>
        <w:pStyle w:val="Szvegtrzs"/>
        <w:spacing w:lineRule="auto" w:line="240" w:before="0" w:after="0"/>
        <w:ind w:left="580" w:hanging="560"/>
        <w:jc w:val="both"/>
        <w:rPr/>
      </w:pPr>
      <w:r>
        <w:rPr>
          <w:i/>
          <w:iCs/>
        </w:rPr>
        <w:t>b)</w:t>
      </w:r>
      <w:r>
        <w:rPr/>
        <w:tab/>
        <w:t>Banai Életfa: Banai Község Önkormányzat Képviselő-testületnek döntése alapján a Szoborparkba elhelyezett, Bana, 779. hrsz.-ú közterületen elhelyezett műalkotás.</w:t>
      </w:r>
    </w:p>
    <w:p>
      <w:pPr>
        <w:pStyle w:val="Szvegtrzs"/>
        <w:spacing w:lineRule="auto" w:line="240" w:before="240" w:after="240"/>
        <w:jc w:val="center"/>
        <w:rPr>
          <w:b/>
          <w:bCs/>
        </w:rPr>
      </w:pPr>
      <w:r>
        <w:rPr>
          <w:b/>
          <w:bCs/>
        </w:rPr>
        <w:t>2. §</w:t>
      </w:r>
    </w:p>
    <w:p>
      <w:pPr>
        <w:pStyle w:val="Szvegtrzs"/>
        <w:spacing w:lineRule="auto" w:line="240" w:before="0" w:after="0"/>
        <w:jc w:val="both"/>
        <w:rPr/>
      </w:pPr>
      <w:r>
        <w:rPr/>
        <w:t xml:space="preserve">A banai gyermekek életkezdési támogatására az a banai lakóhelyű újszülött vagy 1 éves kor előtt örökbefogadott gyermek jogosult, akinek </w:t>
      </w:r>
    </w:p>
    <w:p>
      <w:pPr>
        <w:pStyle w:val="Szvegtrzs"/>
        <w:spacing w:lineRule="auto" w:line="240" w:before="0" w:after="0"/>
        <w:ind w:left="580" w:hanging="560"/>
        <w:jc w:val="both"/>
        <w:rPr/>
      </w:pPr>
      <w:r>
        <w:rPr>
          <w:i/>
          <w:iCs/>
        </w:rPr>
        <w:t>a)</w:t>
      </w:r>
      <w:r>
        <w:rPr/>
        <w:tab/>
        <w:t>mindkét törvényes képviselője legalább egy éve banai állandó lakos és életvitelszerűen Banán tartózkodik, vagy</w:t>
      </w:r>
    </w:p>
    <w:p>
      <w:pPr>
        <w:pStyle w:val="Szvegtrzs"/>
        <w:spacing w:lineRule="auto" w:line="240" w:before="0" w:after="0"/>
        <w:ind w:left="580" w:hanging="560"/>
        <w:jc w:val="both"/>
        <w:rPr/>
      </w:pPr>
      <w:r>
        <w:rPr>
          <w:i/>
          <w:iCs/>
        </w:rPr>
        <w:t>b)</w:t>
      </w:r>
      <w:r>
        <w:rPr/>
        <w:tab/>
        <w:t>egyedülálló törvényes képviselője legalább egy éve banai állandó lakos és életvitelszerűen Banán tartózkodik.</w:t>
      </w:r>
    </w:p>
    <w:p>
      <w:pPr>
        <w:pStyle w:val="Szvegtrzs"/>
        <w:spacing w:lineRule="auto" w:line="240" w:before="240" w:after="240"/>
        <w:jc w:val="center"/>
        <w:rPr>
          <w:b/>
          <w:bCs/>
        </w:rPr>
      </w:pPr>
      <w:r>
        <w:rPr>
          <w:b/>
          <w:bCs/>
        </w:rPr>
        <w:t>3. §</w:t>
      </w:r>
    </w:p>
    <w:p>
      <w:pPr>
        <w:pStyle w:val="Szvegtrzs"/>
        <w:spacing w:lineRule="auto" w:line="240" w:before="0" w:after="0"/>
        <w:jc w:val="both"/>
        <w:rPr/>
      </w:pPr>
      <w:r>
        <w:rPr/>
        <w:t>A banai gyermekek részére ajándékcsomag kerül átadásra a jogosult gyermek törvényes képviselőjének, vagy törvényes képviselőinek 10.000,- Ft értékben. Az ajándékcsomagra 2023. január 1. napját követő időszakban született gyermekek jogosultak.</w:t>
      </w:r>
    </w:p>
    <w:p>
      <w:pPr>
        <w:pStyle w:val="Szvegtrzs"/>
        <w:spacing w:lineRule="auto" w:line="240" w:before="240" w:after="240"/>
        <w:jc w:val="center"/>
        <w:rPr>
          <w:b/>
          <w:bCs/>
        </w:rPr>
      </w:pPr>
      <w:r>
        <w:rPr>
          <w:b/>
          <w:bCs/>
        </w:rPr>
        <w:t>4. §</w:t>
      </w:r>
    </w:p>
    <w:p>
      <w:pPr>
        <w:pStyle w:val="Szvegtrzs"/>
        <w:spacing w:lineRule="auto" w:line="240" w:before="0" w:after="0"/>
        <w:jc w:val="both"/>
        <w:rPr/>
      </w:pPr>
      <w:r>
        <w:rPr/>
        <w:t xml:space="preserve">(1) Bana Község Önkormányzata törvényes képviselői hozzájárulás benyújtása esetén gondoskodik a banai lakóhelyű újszülött gyermek nevének Banai Életfán történő elhelyezéséről amennyiben a banai lakóhelyű újszülött gyermek </w:t>
      </w:r>
    </w:p>
    <w:p>
      <w:pPr>
        <w:pStyle w:val="Szvegtrzs"/>
        <w:spacing w:lineRule="auto" w:line="240" w:before="0" w:after="0"/>
        <w:ind w:left="580" w:hanging="560"/>
        <w:jc w:val="both"/>
        <w:rPr/>
      </w:pPr>
      <w:r>
        <w:rPr>
          <w:i/>
          <w:iCs/>
        </w:rPr>
        <w:t>a)</w:t>
      </w:r>
      <w:r>
        <w:rPr/>
        <w:tab/>
        <w:t xml:space="preserve">életvitelszerűen Banán tartózkodó és legalább 1 éve állandó banai lakóhellyel rendelkező törvényes képviselője,törvényes képviselői ehhez írásban kifejezetten hozzájárulását adja és </w:t>
      </w:r>
    </w:p>
    <w:p>
      <w:pPr>
        <w:pStyle w:val="Szvegtrzs"/>
        <w:spacing w:lineRule="auto" w:line="240" w:before="0" w:after="0"/>
        <w:ind w:left="580" w:hanging="560"/>
        <w:jc w:val="both"/>
        <w:rPr/>
      </w:pPr>
      <w:r>
        <w:rPr>
          <w:i/>
          <w:iCs/>
        </w:rPr>
        <w:t>b)</w:t>
      </w:r>
      <w:r>
        <w:rPr/>
        <w:tab/>
        <w:t>törvényes képviselője (vagy törvényes képviselői) az újszülött gyermek vonatkozásában a védőnői ellátást helyben veszi igénybe.</w:t>
      </w:r>
    </w:p>
    <w:p>
      <w:pPr>
        <w:pStyle w:val="Szvegtrzs"/>
        <w:spacing w:lineRule="auto" w:line="240" w:before="240" w:after="0"/>
        <w:jc w:val="both"/>
        <w:rPr/>
      </w:pPr>
      <w:r>
        <w:rPr/>
        <w:t>(2) A Banai Életfára vonatkozó törvényes képviselői hozzájárulást az 1. mellékletben foglalt nyomtatványon kell benyújtani.</w:t>
      </w:r>
    </w:p>
    <w:p>
      <w:pPr>
        <w:pStyle w:val="Szvegtrzs"/>
        <w:spacing w:lineRule="auto" w:line="240" w:before="240" w:after="240"/>
        <w:jc w:val="center"/>
        <w:rPr>
          <w:b/>
          <w:bCs/>
        </w:rPr>
      </w:pPr>
      <w:r>
        <w:rPr>
          <w:b/>
          <w:bCs/>
        </w:rPr>
        <w:t>5. §</w:t>
      </w:r>
    </w:p>
    <w:p>
      <w:pPr>
        <w:pStyle w:val="Szvegtrzs"/>
        <w:spacing w:lineRule="auto" w:line="240" w:before="0" w:after="0"/>
        <w:jc w:val="both"/>
        <w:rPr/>
      </w:pPr>
      <w:r>
        <w:rPr/>
        <w:t>Ez a rendelet 2024. március 14-én lép hatályba.</w:t>
      </w:r>
    </w:p>
    <w:p>
      <w:pPr>
        <w:pStyle w:val="Normal"/>
        <w:tabs>
          <w:tab w:val="clear" w:pos="709"/>
          <w:tab w:val="left" w:pos="5954" w:leader="none"/>
        </w:tabs>
        <w:spacing w:before="600" w:after="0"/>
        <w:ind w:left="426" w:hanging="0"/>
        <w:jc w:val="both"/>
        <w:rPr>
          <w:color w:val="111111"/>
        </w:rPr>
      </w:pPr>
      <w:r>
        <w:rPr>
          <w:b/>
          <w:bCs/>
          <w:color w:val="111111"/>
          <w:sz w:val="22"/>
          <w:szCs w:val="22"/>
        </w:rPr>
        <w:t>Toma Richárd</w:t>
        <w:tab/>
        <w:t>dr. Bacsárdi József</w:t>
      </w:r>
    </w:p>
    <w:p>
      <w:pPr>
        <w:pStyle w:val="Normal"/>
        <w:tabs>
          <w:tab w:val="clear" w:pos="709"/>
          <w:tab w:val="left" w:pos="6521" w:leader="none"/>
        </w:tabs>
        <w:ind w:left="709" w:hanging="0"/>
        <w:jc w:val="both"/>
        <w:rPr>
          <w:color w:val="111111"/>
        </w:rPr>
      </w:pPr>
      <w:r>
        <w:rPr>
          <w:color w:val="111111"/>
          <w:sz w:val="22"/>
          <w:szCs w:val="22"/>
        </w:rPr>
        <w:t>polgármester</w:t>
        <w:tab/>
        <w:t xml:space="preserve"> jegyző</w:t>
      </w:r>
    </w:p>
    <w:p>
      <w:pPr>
        <w:pStyle w:val="Cm"/>
        <w:jc w:val="left"/>
        <w:rPr>
          <w:b w:val="false"/>
          <w:color w:val="111111"/>
          <w:sz w:val="22"/>
          <w:szCs w:val="22"/>
        </w:rPr>
      </w:pPr>
      <w:r>
        <w:rPr>
          <w:b w:val="false"/>
          <w:color w:val="111111"/>
          <w:sz w:val="22"/>
          <w:szCs w:val="22"/>
        </w:rPr>
      </w:r>
    </w:p>
    <w:p>
      <w:pPr>
        <w:pStyle w:val="Szvegtrzs"/>
        <w:spacing w:lineRule="auto" w:line="240" w:before="0" w:after="0"/>
        <w:jc w:val="both"/>
        <w:rPr>
          <w:color w:val="111111"/>
        </w:rPr>
      </w:pPr>
      <w:r>
        <w:rPr/>
      </w:r>
    </w:p>
    <w:p>
      <w:pPr>
        <w:pStyle w:val="Szvegtrzs"/>
        <w:spacing w:lineRule="auto" w:line="240" w:before="0" w:after="0"/>
        <w:jc w:val="both"/>
        <w:rPr>
          <w:color w:val="111111"/>
        </w:rPr>
      </w:pPr>
      <w:r>
        <w:rPr/>
      </w:r>
    </w:p>
    <w:p>
      <w:pPr>
        <w:pStyle w:val="Normal"/>
        <w:spacing w:lineRule="auto" w:line="240" w:before="0" w:after="0"/>
        <w:jc w:val="both"/>
        <w:rPr>
          <w:color w:val="111111"/>
        </w:rPr>
      </w:pPr>
      <w:r>
        <w:rPr/>
        <w:t>1. melléklet a 3/2024. (III. 13.) önkormányzati rendelethez</w:t>
      </w:r>
    </w:p>
    <w:p>
      <w:pPr>
        <w:pStyle w:val="Normal"/>
        <w:spacing w:lineRule="auto" w:line="240" w:before="0" w:after="0"/>
        <w:jc w:val="both"/>
        <w:rPr>
          <w:color w:val="111111"/>
        </w:rPr>
      </w:pPr>
      <w:r>
        <w:rPr/>
      </w:r>
    </w:p>
    <w:p>
      <w:pPr>
        <w:pStyle w:val="Normal"/>
        <w:jc w:val="center"/>
        <w:rPr>
          <w:b/>
          <w:bCs/>
        </w:rPr>
      </w:pPr>
      <w:r>
        <w:rPr>
          <w:b/>
          <w:bCs/>
        </w:rPr>
        <w:t>Hozzájáruló nyilatkozat</w:t>
      </w:r>
    </w:p>
    <w:p>
      <w:pPr>
        <w:pStyle w:val="Normal"/>
        <w:rPr>
          <w:color w:val="111111"/>
        </w:rPr>
      </w:pPr>
      <w:r>
        <w:rPr/>
      </w:r>
    </w:p>
    <w:p>
      <w:pPr>
        <w:pStyle w:val="Normal"/>
        <w:jc w:val="both"/>
        <w:rPr/>
      </w:pPr>
      <w:r>
        <w:rPr/>
        <w:t xml:space="preserve">1. Alulírott,………………………………………………. (név), mint törvényes képviselő hozzájárulok,hogy………………………………………..(gyermek </w:t>
      </w:r>
      <w:r>
        <w:rPr/>
        <w:t>n</w:t>
      </w:r>
      <w:r>
        <w:rPr/>
        <w:t>eve……………………………………….(gyermek születési ideje) gyermekem neve, születési ideje a Banai Életfára felkerüljön.</w:t>
      </w:r>
    </w:p>
    <w:p>
      <w:pPr>
        <w:pStyle w:val="Normal"/>
        <w:jc w:val="both"/>
        <w:rPr/>
      </w:pPr>
      <w:r>
        <w:rPr/>
      </w:r>
    </w:p>
    <w:p>
      <w:pPr>
        <w:pStyle w:val="Normal"/>
        <w:rPr>
          <w:color w:val="111111"/>
        </w:rPr>
      </w:pPr>
      <w:r>
        <w:rPr/>
        <w:t>2. Kelt, ......................................................…</w:t>
      </w:r>
    </w:p>
    <w:p>
      <w:pPr>
        <w:pStyle w:val="Normal"/>
        <w:rPr>
          <w:color w:val="111111"/>
        </w:rPr>
      </w:pPr>
      <w:r>
        <w:rPr/>
      </w:r>
    </w:p>
    <w:p>
      <w:pPr>
        <w:pStyle w:val="Normal"/>
        <w:rPr>
          <w:color w:val="111111"/>
        </w:rPr>
      </w:pPr>
      <w:r>
        <w:rPr/>
        <w:t>3. .............................................. (aláírás)</w:t>
      </w:r>
    </w:p>
    <w:p>
      <w:pPr>
        <w:pStyle w:val="Szvegtrzs"/>
        <w:spacing w:lineRule="auto" w:line="240" w:before="0" w:after="0"/>
        <w:jc w:val="both"/>
        <w:rPr>
          <w:color w:val="111111"/>
        </w:rPr>
      </w:pPr>
      <w:r>
        <w:rPr/>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lb"/>
      <w:jc w:val="center"/>
      <w:rPr/>
    </w:pPr>
    <w:r>
      <w:rPr/>
      <w:fldChar w:fldCharType="begin"/>
    </w:r>
    <w:r>
      <w:rPr/>
      <w:instrText xml:space="preserve">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019"/>
        </w:tabs>
        <w:ind w:left="7019"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Noto Sans CJK SC Regular" w:cs="FreeSans"/>
      <w:color w:val="auto"/>
      <w:kern w:val="2"/>
      <w:sz w:val="24"/>
      <w:szCs w:val="24"/>
      <w:lang w:val="hu-HU" w:eastAsia="zh-CN" w:bidi="hi-IN"/>
    </w:rPr>
  </w:style>
  <w:style w:type="paragraph" w:styleId="Cmsor1">
    <w:name w:val="Heading 1"/>
    <w:basedOn w:val="Cmsor"/>
    <w:next w:val="Szvegtrzs"/>
    <w:uiPriority w:val="9"/>
    <w:qFormat/>
    <w:pPr>
      <w:numPr>
        <w:ilvl w:val="0"/>
        <w:numId w:val="1"/>
      </w:numPr>
      <w:outlineLvl w:val="0"/>
    </w:pPr>
    <w:rPr>
      <w:b/>
      <w:bCs/>
      <w:sz w:val="36"/>
      <w:szCs w:val="36"/>
    </w:rPr>
  </w:style>
  <w:style w:type="paragraph" w:styleId="Cmsor2">
    <w:name w:val="Heading 2"/>
    <w:basedOn w:val="Cmsor"/>
    <w:next w:val="Szvegtrzs"/>
    <w:uiPriority w:val="9"/>
    <w:semiHidden/>
    <w:unhideWhenUsed/>
    <w:qFormat/>
    <w:pPr>
      <w:numPr>
        <w:ilvl w:val="1"/>
        <w:numId w:val="1"/>
      </w:numPr>
      <w:spacing w:before="200" w:after="120"/>
      <w:outlineLvl w:val="1"/>
    </w:pPr>
    <w:rPr>
      <w:b/>
      <w:bCs/>
      <w:sz w:val="32"/>
      <w:szCs w:val="32"/>
    </w:rPr>
  </w:style>
  <w:style w:type="paragraph" w:styleId="Cmsor3">
    <w:name w:val="Heading 3"/>
    <w:basedOn w:val="Cmsor"/>
    <w:next w:val="Szvegtrzs"/>
    <w:uiPriority w:val="9"/>
    <w:semiHidden/>
    <w:unhideWhenUsed/>
    <w:qFormat/>
    <w:pPr>
      <w:numPr>
        <w:ilvl w:val="2"/>
        <w:numId w:val="1"/>
      </w:numPr>
      <w:spacing w:before="140" w:after="120"/>
      <w:outlineLvl w:val="2"/>
    </w:pPr>
    <w:rPr>
      <w:b/>
      <w:bCs/>
    </w:rPr>
  </w:style>
  <w:style w:type="paragraph" w:styleId="Cmsor4">
    <w:name w:val="Heading 4"/>
    <w:basedOn w:val="Cmsor"/>
    <w:next w:val="Szvegtrzs"/>
    <w:uiPriority w:val="9"/>
    <w:semiHidden/>
    <w:unhideWhenUsed/>
    <w:qFormat/>
    <w:pPr>
      <w:numPr>
        <w:ilvl w:val="3"/>
        <w:numId w:val="1"/>
      </w:numPr>
      <w:spacing w:before="120" w:after="120"/>
      <w:outlineLvl w:val="3"/>
    </w:pPr>
    <w:rPr>
      <w:b/>
      <w:bCs/>
      <w:i/>
      <w:iCs/>
      <w:sz w:val="27"/>
      <w:szCs w:val="27"/>
    </w:rPr>
  </w:style>
  <w:style w:type="paragraph" w:styleId="Cmsor5">
    <w:name w:val="Heading 5"/>
    <w:basedOn w:val="Cmsor"/>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Cmsor"/>
    <w:next w:val="Szvegtrzs"/>
    <w:uiPriority w:val="9"/>
    <w:semiHidden/>
    <w:unhideWhenUsed/>
    <w:qFormat/>
    <w:pPr>
      <w:numPr>
        <w:ilvl w:val="5"/>
        <w:numId w:val="1"/>
      </w:numPr>
      <w:spacing w:before="60" w:after="60"/>
      <w:outlineLvl w:val="5"/>
    </w:pPr>
    <w:rPr>
      <w:b/>
      <w:bCs/>
      <w:i/>
      <w:iCs/>
      <w:sz w:val="24"/>
      <w:szCs w:val="24"/>
    </w:rPr>
  </w:style>
  <w:style w:type="character" w:styleId="DefaultParagraphFont" w:default="1">
    <w:name w:val="Default Paragraph Font"/>
    <w:uiPriority w:val="1"/>
    <w:semiHidden/>
    <w:unhideWhenUsed/>
    <w:qFormat/>
    <w:rPr/>
  </w:style>
  <w:style w:type="character" w:styleId="Internet-hivatkozs">
    <w:name w:val="Hyperlink"/>
    <w:rPr>
      <w:color w:val="000080"/>
      <w:u w:val="single"/>
    </w:rPr>
  </w:style>
  <w:style w:type="character" w:styleId="Megltogatottinternet-hivatkozs">
    <w:name w:val="FollowedHyperlink"/>
    <w:rPr>
      <w:color w:val="800000"/>
      <w:u w:val="single"/>
    </w:rPr>
  </w:style>
  <w:style w:type="character" w:styleId="Szmozsjelek" w:customStyle="1">
    <w:name w:val="Számozásjelek"/>
    <w:qFormat/>
    <w:rPr/>
  </w:style>
  <w:style w:type="character" w:styleId="Bullets" w:customStyle="1">
    <w:name w:val="Bullets"/>
    <w:qFormat/>
    <w:rPr>
      <w:rFonts w:ascii="OpenSymbol" w:hAnsi="OpenSymbol" w:eastAsia="OpenSymbol" w:cs="OpenSymbol"/>
    </w:rPr>
  </w:style>
  <w:style w:type="character" w:styleId="CmChar" w:customStyle="1">
    <w:name w:val="Cím Char"/>
    <w:basedOn w:val="DefaultParagraphFont"/>
    <w:qFormat/>
    <w:rsid w:val="00c4464b"/>
    <w:rPr>
      <w:rFonts w:ascii="Times New Roman" w:hAnsi="Times New Roman" w:eastAsia="Times New Roman" w:cs="Times New Roman"/>
      <w:b/>
      <w:kern w:val="0"/>
      <w:sz w:val="28"/>
      <w:lang w:val="hu-HU" w:eastAsia="hu-HU" w:bidi="ar-SA"/>
    </w:rPr>
  </w:style>
  <w:style w:type="paragraph" w:styleId="Cmsor" w:customStyle="1">
    <w:name w:val="Címsor"/>
    <w:basedOn w:val="Normal"/>
    <w:next w:val="Szvegtrzs"/>
    <w:qFormat/>
    <w:pPr>
      <w:keepNext w:val="true"/>
      <w:spacing w:before="240" w:after="120"/>
    </w:pPr>
    <w:rPr>
      <w:rFonts w:ascii="Liberation Sans" w:hAnsi="Liberation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style>
  <w:style w:type="paragraph" w:styleId="Caption">
    <w:name w:val="caption"/>
    <w:basedOn w:val="Normal"/>
    <w:qFormat/>
    <w:pPr>
      <w:suppressLineNumbers/>
      <w:spacing w:before="120" w:after="120"/>
    </w:pPr>
    <w:rPr>
      <w:i/>
      <w:iCs/>
    </w:rPr>
  </w:style>
  <w:style w:type="paragraph" w:styleId="Lfejsllb" w:customStyle="1">
    <w:name w:val="Élőfej és élőláb"/>
    <w:basedOn w:val="Normal"/>
    <w:qFormat/>
    <w:pPr>
      <w:suppressLineNumbers/>
      <w:tabs>
        <w:tab w:val="clear" w:pos="709"/>
        <w:tab w:val="center" w:pos="4986" w:leader="none"/>
        <w:tab w:val="right" w:pos="9972" w:leader="none"/>
      </w:tabs>
    </w:pPr>
    <w:rPr/>
  </w:style>
  <w:style w:type="paragraph" w:styleId="Llb">
    <w:name w:val="Footer"/>
    <w:basedOn w:val="Normal"/>
    <w:pPr>
      <w:suppressLineNumbers/>
      <w:tabs>
        <w:tab w:val="clear" w:pos="709"/>
        <w:tab w:val="center" w:pos="4819" w:leader="none"/>
        <w:tab w:val="right" w:pos="9638" w:leader="none"/>
      </w:tabs>
    </w:pPr>
    <w:rPr/>
  </w:style>
  <w:style w:type="paragraph" w:styleId="Tblzattartalom" w:customStyle="1">
    <w:name w:val="Táblázattartalom"/>
    <w:basedOn w:val="Normal"/>
    <w:qFormat/>
    <w:pPr>
      <w:suppressLineNumbers/>
    </w:pPr>
    <w:rPr/>
  </w:style>
  <w:style w:type="paragraph" w:styleId="Tblzatfejlc" w:customStyle="1">
    <w:name w:val="Táblázatfejléc"/>
    <w:basedOn w:val="Tblzattartalom"/>
    <w:qFormat/>
    <w:pPr>
      <w:jc w:val="center"/>
    </w:pPr>
    <w:rPr>
      <w:b/>
      <w:bCs/>
    </w:rPr>
  </w:style>
  <w:style w:type="paragraph" w:styleId="Vzszintesvonal" w:customStyle="1">
    <w:name w:val="Vízszintes vonal"/>
    <w:basedOn w:val="Normal"/>
    <w:next w:val="Szvegtrzs"/>
    <w:qFormat/>
    <w:pPr>
      <w:suppressLineNumbers/>
      <w:pBdr>
        <w:bottom w:val="double" w:sz="2" w:space="0" w:color="808080"/>
      </w:pBdr>
      <w:spacing w:before="0" w:after="283"/>
    </w:pPr>
    <w:rPr>
      <w:sz w:val="12"/>
      <w:szCs w:val="12"/>
    </w:rPr>
  </w:style>
  <w:style w:type="paragraph" w:styleId="Cm">
    <w:name w:val="Title"/>
    <w:basedOn w:val="Normal"/>
    <w:link w:val="CmChar"/>
    <w:qFormat/>
    <w:rsid w:val="00c4464b"/>
    <w:pPr>
      <w:suppressAutoHyphens w:val="false"/>
      <w:jc w:val="center"/>
    </w:pPr>
    <w:rPr>
      <w:rFonts w:eastAsia="Times New Roman" w:cs="Times New Roman"/>
      <w:b/>
      <w:kern w:val="0"/>
      <w:sz w:val="28"/>
      <w:lang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LibreOffice/7.5.3.2$Windows_X86_64 LibreOffice_project/9f56dff12ba03b9acd7730a5a481eea045e468f3</Application>
  <AppVersion>15.0000</AppVersion>
  <Pages>3</Pages>
  <Words>653</Words>
  <Characters>4943</Characters>
  <CharactersWithSpaces>5517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2024-02-07T09:26:00Z</dcterms:created>
  <dc:creator>PHBABOLNA</dc:creator>
  <dc:description/>
  <dc:language>en-US</dc:language>
  <cp:lastModifiedBy/>
  <dcterms:modified xsi:type="dcterms:W3CDTF">2024-03-04T20:06:51Z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