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D3F07" w14:textId="77777777" w:rsidR="0022675B" w:rsidRPr="004C6889" w:rsidRDefault="0022675B" w:rsidP="0022675B">
      <w:pPr>
        <w:shd w:val="clear" w:color="auto" w:fill="FFFFFF"/>
        <w:spacing w:before="100" w:beforeAutospacing="1" w:after="75" w:line="600" w:lineRule="atLeast"/>
        <w:jc w:val="center"/>
        <w:outlineLvl w:val="1"/>
        <w:rPr>
          <w:rFonts w:ascii="Arial" w:hAnsi="Arial" w:cs="Arial"/>
          <w:b/>
          <w:bCs/>
          <w:i/>
          <w:iCs/>
          <w:color w:val="474747"/>
          <w:sz w:val="29"/>
          <w:szCs w:val="29"/>
        </w:rPr>
      </w:pPr>
      <w:r w:rsidRPr="004C6889">
        <w:rPr>
          <w:rFonts w:ascii="Arial" w:hAnsi="Arial" w:cs="Arial"/>
          <w:b/>
          <w:bCs/>
          <w:i/>
          <w:iCs/>
          <w:color w:val="474747"/>
          <w:sz w:val="29"/>
          <w:szCs w:val="29"/>
          <w:u w:val="single"/>
        </w:rPr>
        <w:t>17. melléklet a 44/2015. (XI. 2.) MvM rendelethez</w:t>
      </w:r>
    </w:p>
    <w:p w14:paraId="4EC7ED20" w14:textId="77777777" w:rsidR="0022675B" w:rsidRPr="004C6889" w:rsidRDefault="0022675B" w:rsidP="0022675B">
      <w:pPr>
        <w:shd w:val="clear" w:color="auto" w:fill="FFFFFF"/>
        <w:spacing w:before="100" w:beforeAutospacing="1" w:after="75" w:line="405" w:lineRule="atLeast"/>
        <w:jc w:val="both"/>
        <w:rPr>
          <w:rFonts w:ascii="Arial" w:hAnsi="Arial" w:cs="Arial"/>
          <w:color w:val="474747"/>
          <w:sz w:val="27"/>
          <w:szCs w:val="27"/>
        </w:rPr>
      </w:pPr>
      <w:r w:rsidRPr="004C6889">
        <w:rPr>
          <w:rFonts w:ascii="Arial" w:hAnsi="Arial" w:cs="Arial"/>
          <w:b/>
          <w:bCs/>
          <w:color w:val="474747"/>
          <w:sz w:val="27"/>
          <w:szCs w:val="27"/>
        </w:rPr>
        <w:t>KÖZBESZERZÉSI ADATBÁZIS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2"/>
        <w:gridCol w:w="823"/>
        <w:gridCol w:w="1209"/>
        <w:gridCol w:w="1547"/>
        <w:gridCol w:w="1565"/>
        <w:gridCol w:w="3110"/>
      </w:tblGrid>
      <w:tr w:rsidR="0022675B" w:rsidRPr="004C6889" w14:paraId="556AFEC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6E0B41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Az éves statisztikai összegezés</w:t>
            </w:r>
          </w:p>
        </w:tc>
      </w:tr>
      <w:tr w:rsidR="0022675B" w:rsidRPr="004C6889" w14:paraId="364FAFF2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4BBDE6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Statisztikai összegezés az éves közbeszerzésekről a klasszikus ajánlatkérők vonatkozásában</w:t>
            </w:r>
          </w:p>
        </w:tc>
      </w:tr>
      <w:tr w:rsidR="0022675B" w:rsidRPr="004C6889" w14:paraId="4C0D9C1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A1D95EE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I. szakasz: Ajánlatkérő</w:t>
            </w:r>
          </w:p>
        </w:tc>
      </w:tr>
      <w:tr w:rsidR="0022675B" w:rsidRPr="004C6889" w14:paraId="79334EC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129BC8D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I.1) Név és címek</w:t>
            </w:r>
          </w:p>
        </w:tc>
      </w:tr>
      <w:tr w:rsidR="0022675B" w:rsidRPr="004C6889" w14:paraId="37C5D3A9" w14:textId="77777777" w:rsidTr="009502A2">
        <w:trPr>
          <w:trHeight w:val="375"/>
          <w:jc w:val="center"/>
        </w:trPr>
        <w:tc>
          <w:tcPr>
            <w:tcW w:w="1568" w:type="pct"/>
            <w:gridSpan w:val="3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062152A" w14:textId="3065B9A5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Hivatalos név: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D26924">
              <w:rPr>
                <w:rFonts w:ascii="Times New Roman" w:hAnsi="Times New Roman"/>
                <w:sz w:val="20"/>
              </w:rPr>
              <w:t xml:space="preserve">Bana Község </w:t>
            </w:r>
            <w:r>
              <w:rPr>
                <w:rFonts w:ascii="Times New Roman" w:hAnsi="Times New Roman"/>
                <w:sz w:val="20"/>
              </w:rPr>
              <w:t>Önkormányzata</w:t>
            </w:r>
          </w:p>
        </w:tc>
        <w:tc>
          <w:tcPr>
            <w:tcW w:w="1716" w:type="pct"/>
            <w:gridSpan w:val="2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DD2C341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Nemzeti azonosítószám: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>
              <w:rPr>
                <w:rFonts w:ascii="Times New Roman" w:hAnsi="Times New Roman"/>
                <w:position w:val="10"/>
                <w:sz w:val="20"/>
              </w:rPr>
              <w:t xml:space="preserve"> </w:t>
            </w:r>
          </w:p>
        </w:tc>
        <w:tc>
          <w:tcPr>
            <w:tcW w:w="1715" w:type="pct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</w:tcPr>
          <w:p w14:paraId="699943AB" w14:textId="3D1C8F08" w:rsidR="0022675B" w:rsidRPr="004C6889" w:rsidRDefault="00D26924" w:rsidP="009502A2">
            <w:pPr>
              <w:rPr>
                <w:rFonts w:ascii="Times New Roman" w:hAnsi="Times New Roman"/>
                <w:sz w:val="20"/>
              </w:rPr>
            </w:pPr>
            <w:r w:rsidRPr="00D26924">
              <w:rPr>
                <w:rFonts w:ascii="Times New Roman" w:hAnsi="Times New Roman"/>
                <w:sz w:val="20"/>
              </w:rPr>
              <w:t>AK27049</w:t>
            </w:r>
          </w:p>
        </w:tc>
      </w:tr>
      <w:tr w:rsidR="0022675B" w:rsidRPr="004C6889" w14:paraId="31C7C7B5" w14:textId="77777777" w:rsidTr="009502A2">
        <w:trPr>
          <w:trHeight w:val="375"/>
          <w:jc w:val="center"/>
        </w:trPr>
        <w:tc>
          <w:tcPr>
            <w:tcW w:w="2422" w:type="pct"/>
            <w:gridSpan w:val="4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B55BA62" w14:textId="729EF1AB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Postai cím:</w:t>
            </w:r>
            <w:r>
              <w:rPr>
                <w:rFonts w:ascii="Times New Roman" w:hAnsi="Times New Roman"/>
                <w:sz w:val="20"/>
              </w:rPr>
              <w:t xml:space="preserve"> Jókai Mór utca 1</w:t>
            </w:r>
            <w:r w:rsidR="008A3D06">
              <w:rPr>
                <w:rFonts w:ascii="Times New Roman" w:hAnsi="Times New Roman"/>
                <w:sz w:val="20"/>
              </w:rPr>
              <w:t>8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2578" w:type="pct"/>
            <w:gridSpan w:val="2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2DC201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  <w:tr w:rsidR="0022675B" w:rsidRPr="004C6889" w14:paraId="465BEFBA" w14:textId="77777777" w:rsidTr="009502A2">
        <w:trPr>
          <w:trHeight w:val="375"/>
          <w:jc w:val="center"/>
        </w:trPr>
        <w:tc>
          <w:tcPr>
            <w:tcW w:w="448" w:type="pct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8452AD1" w14:textId="42EFE26B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Város: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8A3D06">
              <w:rPr>
                <w:rFonts w:ascii="Times New Roman" w:hAnsi="Times New Roman"/>
                <w:sz w:val="20"/>
              </w:rPr>
              <w:t>Bana</w:t>
            </w:r>
          </w:p>
        </w:tc>
        <w:tc>
          <w:tcPr>
            <w:tcW w:w="454" w:type="pct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088796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NUTS-kód:</w:t>
            </w:r>
            <w:r>
              <w:rPr>
                <w:rFonts w:ascii="Times New Roman" w:hAnsi="Times New Roman"/>
                <w:sz w:val="20"/>
              </w:rPr>
              <w:t xml:space="preserve"> HU212</w:t>
            </w:r>
          </w:p>
        </w:tc>
        <w:tc>
          <w:tcPr>
            <w:tcW w:w="667" w:type="pct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EA555D4" w14:textId="561E82FD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Postai irányítószám:</w:t>
            </w:r>
            <w:r>
              <w:rPr>
                <w:rFonts w:ascii="Times New Roman" w:hAnsi="Times New Roman"/>
                <w:sz w:val="20"/>
              </w:rPr>
              <w:t xml:space="preserve"> 294</w:t>
            </w:r>
            <w:r w:rsidR="008A3D06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432" w:type="pct"/>
            <w:gridSpan w:val="3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7DA8CE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Ország:</w:t>
            </w:r>
            <w:r>
              <w:rPr>
                <w:rFonts w:ascii="Times New Roman" w:hAnsi="Times New Roman"/>
                <w:sz w:val="20"/>
              </w:rPr>
              <w:t xml:space="preserve"> Magyarország</w:t>
            </w:r>
          </w:p>
        </w:tc>
      </w:tr>
      <w:tr w:rsidR="0022675B" w:rsidRPr="004C6889" w14:paraId="74B4562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00897CC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I.2) Az ajánlatkérő típusa</w:t>
            </w:r>
          </w:p>
        </w:tc>
      </w:tr>
      <w:tr w:rsidR="0022675B" w:rsidRPr="004C6889" w14:paraId="70EFEF60" w14:textId="77777777" w:rsidTr="009502A2">
        <w:trPr>
          <w:trHeight w:val="375"/>
          <w:jc w:val="center"/>
        </w:trPr>
        <w:tc>
          <w:tcPr>
            <w:tcW w:w="902" w:type="pct"/>
            <w:gridSpan w:val="2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55A2FB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□ Központi szintű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  <w:highlight w:val="darkGray"/>
                <w:u w:val="single"/>
              </w:rPr>
              <w:t>□ Regionális/helyi szintű</w:t>
            </w:r>
            <w:r w:rsidRPr="004C6889">
              <w:rPr>
                <w:rFonts w:ascii="Times New Roman" w:hAnsi="Times New Roman"/>
                <w:sz w:val="20"/>
              </w:rPr>
              <w:br/>
              <w:t>□ Közjogi szervezet</w:t>
            </w:r>
          </w:p>
        </w:tc>
        <w:tc>
          <w:tcPr>
            <w:tcW w:w="4098" w:type="pct"/>
            <w:gridSpan w:val="4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FE4A08C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□ Támogatott szervezet [Kbt. 5. § (2)-(3) bekezdés] </w:t>
            </w:r>
            <w:r w:rsidRPr="004C6889">
              <w:rPr>
                <w:rFonts w:ascii="Times New Roman" w:hAnsi="Times New Roman"/>
                <w:sz w:val="20"/>
              </w:rPr>
              <w:br/>
              <w:t>□ Egyéb:</w:t>
            </w:r>
          </w:p>
        </w:tc>
      </w:tr>
      <w:tr w:rsidR="0022675B" w:rsidRPr="004C6889" w14:paraId="24E97642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FBF31E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I.3) Fő tevékenység</w:t>
            </w:r>
          </w:p>
        </w:tc>
      </w:tr>
      <w:tr w:rsidR="0022675B" w:rsidRPr="004C6889" w14:paraId="52F1EA21" w14:textId="77777777" w:rsidTr="009502A2">
        <w:trPr>
          <w:trHeight w:val="375"/>
          <w:jc w:val="center"/>
        </w:trPr>
        <w:tc>
          <w:tcPr>
            <w:tcW w:w="902" w:type="pct"/>
            <w:gridSpan w:val="2"/>
            <w:tcBorders>
              <w:top w:val="single" w:sz="6" w:space="0" w:color="B1B1B1"/>
              <w:left w:val="single" w:sz="6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B6A7C9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  <w:highlight w:val="darkGray"/>
                <w:u w:val="single"/>
              </w:rPr>
              <w:t>□ Általános közszolgáltatások</w:t>
            </w:r>
            <w:r w:rsidRPr="004C6889">
              <w:rPr>
                <w:rFonts w:ascii="Times New Roman" w:hAnsi="Times New Roman"/>
                <w:sz w:val="20"/>
              </w:rPr>
              <w:br/>
              <w:t>□ Honvédelem</w:t>
            </w:r>
            <w:r w:rsidRPr="004C6889">
              <w:rPr>
                <w:rFonts w:ascii="Times New Roman" w:hAnsi="Times New Roman"/>
                <w:sz w:val="20"/>
              </w:rPr>
              <w:br/>
              <w:t>□ Közrend és biztonság</w:t>
            </w:r>
            <w:r w:rsidRPr="004C6889">
              <w:rPr>
                <w:rFonts w:ascii="Times New Roman" w:hAnsi="Times New Roman"/>
                <w:sz w:val="20"/>
              </w:rPr>
              <w:br/>
              <w:t>□ Környezetvédelem</w:t>
            </w:r>
            <w:r w:rsidRPr="004C6889">
              <w:rPr>
                <w:rFonts w:ascii="Times New Roman" w:hAnsi="Times New Roman"/>
                <w:sz w:val="20"/>
              </w:rPr>
              <w:br/>
              <w:t>□ Gazdasági és pénzügyek</w:t>
            </w:r>
            <w:r w:rsidRPr="004C6889">
              <w:rPr>
                <w:rFonts w:ascii="Times New Roman" w:hAnsi="Times New Roman"/>
                <w:sz w:val="20"/>
              </w:rPr>
              <w:br/>
              <w:t>□ Egészségügy</w:t>
            </w:r>
          </w:p>
        </w:tc>
        <w:tc>
          <w:tcPr>
            <w:tcW w:w="1520" w:type="pct"/>
            <w:gridSpan w:val="2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6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F39C887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□ Lakásszolgáltatás és közösségi rekreáció</w:t>
            </w:r>
            <w:r w:rsidRPr="004C6889">
              <w:rPr>
                <w:rFonts w:ascii="Times New Roman" w:hAnsi="Times New Roman"/>
                <w:sz w:val="20"/>
              </w:rPr>
              <w:br/>
              <w:t>□ Szociális védelem</w:t>
            </w:r>
            <w:r w:rsidRPr="004C6889">
              <w:rPr>
                <w:rFonts w:ascii="Times New Roman" w:hAnsi="Times New Roman"/>
                <w:sz w:val="20"/>
              </w:rPr>
              <w:br/>
              <w:t>□ Szabadidő, kultúra és vallás </w:t>
            </w:r>
            <w:r w:rsidRPr="004C6889">
              <w:rPr>
                <w:rFonts w:ascii="Times New Roman" w:hAnsi="Times New Roman"/>
                <w:sz w:val="20"/>
              </w:rPr>
              <w:br/>
              <w:t>□ Oktatás</w:t>
            </w:r>
            <w:r w:rsidRPr="004C6889">
              <w:rPr>
                <w:rFonts w:ascii="Times New Roman" w:hAnsi="Times New Roman"/>
                <w:sz w:val="20"/>
              </w:rPr>
              <w:br/>
              <w:t>□ Egyéb tevékenység:</w:t>
            </w:r>
          </w:p>
        </w:tc>
        <w:tc>
          <w:tcPr>
            <w:tcW w:w="2578" w:type="pct"/>
            <w:gridSpan w:val="2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6CEB49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  <w:tr w:rsidR="0022675B" w:rsidRPr="004C6889" w14:paraId="63F6B58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5AFCA75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II. szakasz: az ajánlatkérő közbeszerzéseire vonatkozó általános adatok</w:t>
            </w:r>
          </w:p>
        </w:tc>
      </w:tr>
      <w:tr w:rsidR="0022675B" w:rsidRPr="004C6889" w14:paraId="6CBBC79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A9E0F4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II.1) Az uniós értékhatárokat elérő vagy meghaladó becsült értékű közbeszerzések 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br/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</w:t>
            </w:r>
            <w:r>
              <w:rPr>
                <w:rFonts w:ascii="Times New Roman" w:hAnsi="Times New Roman"/>
                <w:i/>
                <w:iCs/>
                <w:sz w:val="20"/>
              </w:rPr>
              <w:t>á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mmal adható meg, a szerződések összértékét HUF-ban)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Összértéke: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</w:t>
            </w:r>
          </w:p>
        </w:tc>
      </w:tr>
      <w:tr w:rsidR="0022675B" w:rsidRPr="004C6889" w14:paraId="5C636FA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AE5C92B" w14:textId="7122EBEF" w:rsidR="0022675B" w:rsidRPr="004C6889" w:rsidRDefault="0022675B" w:rsidP="004A0D79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II.2) Az uniós értékhatárok alatti becsült értékű közbeszerzések 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br/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összértékét HUF-ban)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</w:t>
            </w:r>
            <w:r>
              <w:rPr>
                <w:rFonts w:ascii="Times New Roman" w:hAnsi="Times New Roman"/>
                <w:sz w:val="20"/>
              </w:rPr>
              <w:t xml:space="preserve">  </w:t>
            </w:r>
            <w:r w:rsidRPr="004C6889">
              <w:rPr>
                <w:rFonts w:ascii="Times New Roman" w:hAnsi="Times New Roman"/>
                <w:sz w:val="20"/>
              </w:rPr>
              <w:t>] Összértéke: [</w:t>
            </w:r>
            <w:r w:rsidR="008A3D06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</w:t>
            </w:r>
          </w:p>
        </w:tc>
      </w:tr>
      <w:tr w:rsidR="0022675B" w:rsidRPr="004C6889" w14:paraId="3AAEC9E9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DBE5AD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 szakasz: az ajánlatkérő közbeszerzéseire vonatkozó részletes adatok</w:t>
            </w:r>
          </w:p>
        </w:tc>
      </w:tr>
      <w:tr w:rsidR="0022675B" w:rsidRPr="004C6889" w14:paraId="2538827B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E84BC4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III.1) A közbeszerzések összesítése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(kivéve a IV.1.1)-IV.1.2) és IV.1.4)-IV.1.5) pontokban megadott közbeszerzéseket)</w:t>
            </w:r>
          </w:p>
        </w:tc>
      </w:tr>
      <w:tr w:rsidR="0022675B" w:rsidRPr="004C6889" w14:paraId="08EAE75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3F27E7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III.1.1) Árubeszerzés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0A3B8D46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6B99FFD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III.1.1.1) A Kbt. Második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</w:t>
            </w:r>
          </w:p>
        </w:tc>
      </w:tr>
      <w:tr w:rsidR="0022675B" w:rsidRPr="004C6889" w14:paraId="143B161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9A75A2C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 Kbt. Második Része szerinti összes árubeszerzés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66CDC28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9CC1EFE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III.1.1.2) A Kbt. Harmadik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A Kbt. 117. § szerinti saját beszerzési szabályok szerinti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hirdetmény nélküli tárgyalásos eljárás / Száma: [ ] Összértéke: [ ]</w:t>
            </w:r>
          </w:p>
        </w:tc>
      </w:tr>
      <w:tr w:rsidR="0022675B" w:rsidRPr="004C6889" w14:paraId="5EEC7E6F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AD719D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Harmadik Része szerinti összes árubeszerzés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777E9B9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1BB3F7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III.1.1.3) Az árubeszerzések fő tárgy szerinti CPV kódok alapján történő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</w:p>
        </w:tc>
      </w:tr>
      <w:tr w:rsidR="0022675B" w:rsidRPr="004C6889" w14:paraId="24690F3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F239DC9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Második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A Kbt. Harmadik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</w:t>
            </w:r>
          </w:p>
        </w:tc>
      </w:tr>
      <w:tr w:rsidR="0022675B" w:rsidRPr="004C6889" w14:paraId="4EC00F2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D78CF9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III.1.2) Építési beruházás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14D92CEB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911E911" w14:textId="77777777" w:rsidR="0022675B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III.1.2.1) A Kbt. Második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22675B">
              <w:rPr>
                <w:rFonts w:ascii="Times New Roman" w:hAnsi="Times New Roman"/>
                <w:sz w:val="20"/>
              </w:rPr>
              <w:t>□ Nyílt</w:t>
            </w:r>
            <w:r>
              <w:rPr>
                <w:rFonts w:ascii="Times New Roman" w:hAnsi="Times New Roman"/>
                <w:sz w:val="20"/>
              </w:rPr>
              <w:t xml:space="preserve"> eljárás / Száma: [ </w:t>
            </w:r>
            <w:r w:rsidRPr="0022675B">
              <w:rPr>
                <w:rFonts w:ascii="Times New Roman" w:hAnsi="Times New Roman"/>
                <w:sz w:val="20"/>
              </w:rPr>
              <w:t xml:space="preserve"> ] Összértéke: []</w:t>
            </w:r>
            <w:r w:rsidRPr="0022675B">
              <w:rPr>
                <w:rFonts w:ascii="Times New Roman" w:hAnsi="Times New Roman"/>
                <w:b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</w:t>
            </w:r>
          </w:p>
          <w:p w14:paraId="7F26F6D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  <w:tr w:rsidR="0022675B" w:rsidRPr="004C6889" w14:paraId="1FAA2C02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A9CE280" w14:textId="77777777" w:rsidR="0022675B" w:rsidRPr="004C6889" w:rsidRDefault="0022675B" w:rsidP="0022675B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Második Része szerinti összes építési beruházás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Összértéke: []</w:t>
            </w:r>
          </w:p>
        </w:tc>
      </w:tr>
      <w:tr w:rsidR="0022675B" w:rsidRPr="004C6889" w14:paraId="31281A14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E670498" w14:textId="77777777" w:rsidR="0022675B" w:rsidRPr="0022675B" w:rsidRDefault="0022675B" w:rsidP="002C4EBE">
            <w:pPr>
              <w:rPr>
                <w:rFonts w:ascii="Times New Roman" w:hAnsi="Times New Roman"/>
                <w:b/>
                <w:sz w:val="20"/>
                <w:u w:val="single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III.1.2.2) A Kbt. Harmadik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A Kbt. 117. § szerinti saját beszerzési szabályok szerinti eljárás / Száma: [] Összértéke: []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0C5804">
              <w:rPr>
                <w:rFonts w:ascii="Times New Roman" w:hAnsi="Times New Roman"/>
                <w:sz w:val="20"/>
                <w:highlight w:val="lightGray"/>
              </w:rPr>
              <w:lastRenderedPageBreak/>
              <w:t>□ Nyílt eljárás / Száma: [ 1 ] Összértéke:]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 xml:space="preserve">□ </w:t>
            </w:r>
            <w:r w:rsidRPr="000C5804">
              <w:rPr>
                <w:rFonts w:ascii="Times New Roman" w:hAnsi="Times New Roman"/>
                <w:sz w:val="20"/>
                <w:u w:val="single"/>
              </w:rPr>
              <w:t>A Kbt. 115. § sz</w:t>
            </w:r>
            <w:r w:rsidR="000C5804" w:rsidRPr="000C5804">
              <w:rPr>
                <w:rFonts w:ascii="Times New Roman" w:hAnsi="Times New Roman"/>
                <w:sz w:val="20"/>
                <w:u w:val="single"/>
              </w:rPr>
              <w:t>erinti nyílt eljárás / Száma: [1</w:t>
            </w:r>
            <w:r w:rsidRPr="000C5804">
              <w:rPr>
                <w:rFonts w:ascii="Times New Roman" w:hAnsi="Times New Roman"/>
                <w:sz w:val="20"/>
                <w:u w:val="single"/>
              </w:rPr>
              <w:t xml:space="preserve">] Összértéke: [ </w:t>
            </w:r>
            <w:r w:rsidR="000C5804" w:rsidRPr="000C5804">
              <w:rPr>
                <w:rFonts w:ascii="Times New Roman" w:hAnsi="Times New Roman"/>
                <w:sz w:val="20"/>
                <w:u w:val="single"/>
              </w:rPr>
              <w:t>30.886.646</w:t>
            </w:r>
            <w:r w:rsidRPr="000C5804">
              <w:rPr>
                <w:rFonts w:ascii="Times New Roman" w:hAnsi="Times New Roman"/>
                <w:sz w:val="20"/>
                <w:u w:val="single"/>
              </w:rPr>
              <w:t>]</w:t>
            </w:r>
            <w:r w:rsidRPr="000C5804">
              <w:rPr>
                <w:rFonts w:ascii="Times New Roman" w:hAnsi="Times New Roman"/>
                <w:sz w:val="20"/>
                <w:u w:val="single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A Kbt. 115. § szerinti hirdetmény nélküli tárgyalásos eljárás / Száma: [ ] Összértéke: [ ]</w:t>
            </w:r>
          </w:p>
        </w:tc>
      </w:tr>
      <w:tr w:rsidR="0022675B" w:rsidRPr="004C6889" w14:paraId="6377DF5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A7D4974" w14:textId="77777777" w:rsidR="0022675B" w:rsidRPr="004C6889" w:rsidRDefault="0022675B" w:rsidP="002C4EBE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 Kbt. Harmadik Része szerinti összes építési beruházás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 xml:space="preserve">Száma: [ </w:t>
            </w:r>
            <w:r>
              <w:rPr>
                <w:rFonts w:ascii="Times New Roman" w:hAnsi="Times New Roman"/>
                <w:sz w:val="20"/>
              </w:rPr>
              <w:t xml:space="preserve">1 </w:t>
            </w:r>
            <w:r w:rsidRPr="004C6889">
              <w:rPr>
                <w:rFonts w:ascii="Times New Roman" w:hAnsi="Times New Roman"/>
                <w:sz w:val="20"/>
              </w:rPr>
              <w:t xml:space="preserve">] Összértéke: </w:t>
            </w:r>
            <w:r w:rsidRPr="002C4EBE">
              <w:rPr>
                <w:rFonts w:ascii="Times New Roman" w:hAnsi="Times New Roman"/>
                <w:sz w:val="20"/>
                <w:highlight w:val="lightGray"/>
                <w:u w:val="single"/>
              </w:rPr>
              <w:t>[]</w:t>
            </w:r>
          </w:p>
        </w:tc>
      </w:tr>
      <w:tr w:rsidR="0022675B" w:rsidRPr="004C6889" w14:paraId="2FFEE6AB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8BF5A7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III.1.2.3) Az építési beruházások fő tárgy szerinti CPV kódok alapján történő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</w:p>
        </w:tc>
      </w:tr>
      <w:tr w:rsidR="0022675B" w:rsidRPr="004C6889" w14:paraId="679D08DA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0E3FA9F" w14:textId="77777777" w:rsidR="0022675B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Második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- [ </w:t>
            </w:r>
            <w:r>
              <w:rPr>
                <w:rFonts w:ascii="Times New Roman" w:hAnsi="Times New Roman"/>
                <w:sz w:val="20"/>
              </w:rPr>
              <w:t xml:space="preserve">2 </w:t>
            </w:r>
            <w:r w:rsidRPr="004C6889">
              <w:rPr>
                <w:rFonts w:ascii="Times New Roman" w:hAnsi="Times New Roman"/>
                <w:sz w:val="20"/>
              </w:rPr>
              <w:t>] / Száma: [</w:t>
            </w:r>
            <w:r>
              <w:rPr>
                <w:rFonts w:ascii="Times New Roman" w:hAnsi="Times New Roman"/>
                <w:sz w:val="20"/>
              </w:rPr>
              <w:t xml:space="preserve"> 1</w:t>
            </w:r>
            <w:r w:rsidRPr="004C6889">
              <w:rPr>
                <w:rFonts w:ascii="Times New Roman" w:hAnsi="Times New Roman"/>
                <w:sz w:val="20"/>
              </w:rPr>
              <w:t xml:space="preserve"> ] Összértéke: [] </w:t>
            </w:r>
          </w:p>
          <w:p w14:paraId="25129110" w14:textId="77777777" w:rsidR="0022675B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][ 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- [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/ Száma: [ ] Összértéke: [] </w:t>
            </w:r>
            <w:r w:rsidRPr="004C6889">
              <w:rPr>
                <w:rFonts w:ascii="Times New Roman" w:hAnsi="Times New Roman"/>
                <w:sz w:val="20"/>
              </w:rPr>
              <w:br/>
            </w:r>
          </w:p>
          <w:p w14:paraId="5453CA7C" w14:textId="77777777" w:rsidR="0022675B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Harmadik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</w:t>
            </w:r>
            <w:r w:rsidR="000C5804">
              <w:rPr>
                <w:rFonts w:ascii="Times New Roman" w:hAnsi="Times New Roman"/>
                <w:sz w:val="20"/>
              </w:rPr>
              <w:t>4</w:t>
            </w:r>
            <w:r w:rsidRPr="004C6889">
              <w:rPr>
                <w:rFonts w:ascii="Times New Roman" w:hAnsi="Times New Roman"/>
                <w:sz w:val="20"/>
              </w:rPr>
              <w:t>][</w:t>
            </w:r>
            <w:r w:rsidR="000C5804">
              <w:rPr>
                <w:rFonts w:ascii="Times New Roman" w:hAnsi="Times New Roman"/>
                <w:sz w:val="20"/>
              </w:rPr>
              <w:t>5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 w:rsidR="000C5804">
              <w:rPr>
                <w:rFonts w:ascii="Times New Roman" w:hAnsi="Times New Roman"/>
                <w:sz w:val="20"/>
              </w:rPr>
              <w:t>2</w:t>
            </w:r>
            <w:r w:rsidRPr="004C6889">
              <w:rPr>
                <w:rFonts w:ascii="Times New Roman" w:hAnsi="Times New Roman"/>
                <w:sz w:val="20"/>
              </w:rPr>
              <w:t>][</w:t>
            </w:r>
            <w:r w:rsidR="000C5804">
              <w:rPr>
                <w:rFonts w:ascii="Times New Roman" w:hAnsi="Times New Roman"/>
                <w:sz w:val="20"/>
              </w:rPr>
              <w:t>3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 w:rsidR="000C5804">
              <w:rPr>
                <w:rFonts w:ascii="Times New Roman" w:hAnsi="Times New Roman"/>
                <w:sz w:val="20"/>
              </w:rPr>
              <w:t>3</w:t>
            </w:r>
            <w:r w:rsidRPr="004C6889">
              <w:rPr>
                <w:rFonts w:ascii="Times New Roman" w:hAnsi="Times New Roman"/>
                <w:sz w:val="20"/>
              </w:rPr>
              <w:t>][</w:t>
            </w:r>
            <w:r w:rsidR="000C5804">
              <w:rPr>
                <w:rFonts w:ascii="Times New Roman" w:hAnsi="Times New Roman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 w:rsidR="000C5804">
              <w:rPr>
                <w:rFonts w:ascii="Times New Roman" w:hAnsi="Times New Roman"/>
                <w:sz w:val="20"/>
              </w:rPr>
              <w:t>4</w:t>
            </w:r>
            <w:r w:rsidRPr="004C6889">
              <w:rPr>
                <w:rFonts w:ascii="Times New Roman" w:hAnsi="Times New Roman"/>
                <w:sz w:val="20"/>
              </w:rPr>
              <w:t>][</w:t>
            </w:r>
            <w:r w:rsidR="000C5804">
              <w:rPr>
                <w:rFonts w:ascii="Times New Roman" w:hAnsi="Times New Roman"/>
                <w:sz w:val="20"/>
              </w:rPr>
              <w:t>1] - [9</w:t>
            </w:r>
            <w:r w:rsidRPr="004C6889">
              <w:rPr>
                <w:rFonts w:ascii="Times New Roman" w:hAnsi="Times New Roman"/>
                <w:sz w:val="20"/>
              </w:rPr>
              <w:t>] / Száma: [</w:t>
            </w:r>
            <w:r>
              <w:rPr>
                <w:rFonts w:ascii="Times New Roman" w:hAnsi="Times New Roman"/>
                <w:sz w:val="20"/>
              </w:rPr>
              <w:t xml:space="preserve"> 1</w:t>
            </w:r>
            <w:r w:rsidRPr="004C6889">
              <w:rPr>
                <w:rFonts w:ascii="Times New Roman" w:hAnsi="Times New Roman"/>
                <w:sz w:val="20"/>
              </w:rPr>
              <w:t xml:space="preserve"> ] Összértéke: </w:t>
            </w:r>
            <w:r w:rsidR="000C5804" w:rsidRPr="000C5804">
              <w:rPr>
                <w:rFonts w:ascii="Times New Roman" w:hAnsi="Times New Roman"/>
                <w:sz w:val="20"/>
                <w:u w:val="single"/>
              </w:rPr>
              <w:t>[ 30.886.646]</w:t>
            </w:r>
          </w:p>
          <w:p w14:paraId="2D8BCF50" w14:textId="77777777" w:rsidR="0022675B" w:rsidRPr="004C6889" w:rsidRDefault="0022675B" w:rsidP="00457DE8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</w:t>
            </w:r>
            <w:r w:rsidR="00457DE8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 w:rsidR="00457DE8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. [</w:t>
            </w:r>
            <w:r w:rsidR="00457DE8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 w:rsidR="00457DE8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 w:rsidR="00457DE8"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.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 ][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 xml:space="preserve">] - [ 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4C6889">
              <w:rPr>
                <w:rFonts w:ascii="Times New Roman" w:hAnsi="Times New Roman"/>
                <w:sz w:val="20"/>
              </w:rPr>
              <w:t>] / Száma: [ ] Összértéke: [] </w:t>
            </w:r>
          </w:p>
        </w:tc>
      </w:tr>
      <w:tr w:rsidR="0022675B" w:rsidRPr="004C6889" w14:paraId="7EF013C6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E697667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III.1.3) Építési koncesszió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62198E4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33824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III.1.3.1) A Kbt. Negyedik Része szerinti uniós értékhatárt elérő becsült értékű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Hirdetmény közzétételével induló tárgyalás nélküli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közzétételével induló tárgyalás megtartásával lefolytatott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közzététele nélküli tárgyalás nélküli koncessziós beszerzési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 megtartásával lefolytatott koncessziós beszerzési eljárás / Száma: [ ] Összértéke: [ ]</w:t>
            </w:r>
          </w:p>
        </w:tc>
      </w:tr>
      <w:tr w:rsidR="0022675B" w:rsidRPr="004C6889" w14:paraId="3CA2016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973DAEA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Negyedik Része szerinti uniós értékhatárt elérő becsült értékű összes építési koncesszió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3AA5044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E1D71D7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III.1.3.2) A Kbt. Negyedik Része szerinti nemzeti értékhatárt elérő becsült értékű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Hirdetmény közzétételével induló tárgyalás nélküli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közzétételével induló tárgyalás megtartásával lefolytatott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közzététele nélküli tárgyalás nélküli koncessziós beszerzési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 megtartásával lefolytatott koncessziós beszerzési eljárás / Száma: [ ] Összértéke: [ ]</w:t>
            </w:r>
          </w:p>
        </w:tc>
      </w:tr>
      <w:tr w:rsidR="0022675B" w:rsidRPr="004C6889" w14:paraId="3FF541CE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7A1A9A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Negyedik Része szerinti nemzeti értékhatárt elérő becsült értékű összes építési koncesszió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402A70E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EEA5E2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III.1.3.3) Az építési koncessziók fő tárgy szerinti CPV kódok alapján történő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</w:p>
        </w:tc>
      </w:tr>
      <w:tr w:rsidR="0022675B" w:rsidRPr="004C6889" w14:paraId="51F676E4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73A485A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Uniós értékhatárt elérő építési koncessziók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Nemzeti értékhatárt elérő építési koncessziók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</w:t>
            </w:r>
          </w:p>
        </w:tc>
      </w:tr>
      <w:tr w:rsidR="0022675B" w:rsidRPr="004C6889" w14:paraId="50F1DA9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73BECA1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lastRenderedPageBreak/>
              <w:t>III.1.4) Szolgáltatásmegrendelés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 ban kell megadni)</w:t>
            </w:r>
          </w:p>
        </w:tc>
      </w:tr>
      <w:tr w:rsidR="0022675B" w:rsidRPr="004C6889" w14:paraId="0107CBC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95BC7A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III.1.4.1) A Kbt. Második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</w:t>
            </w:r>
          </w:p>
        </w:tc>
      </w:tr>
      <w:tr w:rsidR="0022675B" w:rsidRPr="004C6889" w14:paraId="55E9741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321774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Második Része szerinti összes szolgáltatásmegrendelés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1E90E04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816D25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III.1.4.2) Az uniós értékhatárt elérő becsült értékű, Kbt. Harmadik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(a Kbt. 3. mellékletében meghatározott szociális és egyéb szolgáltatások)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A Kbt. 117. § szerinti saját beszerzési szabályok szerinti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hirdetmény nélküli tárgyalásos eljárás / Száma: [ ] Összértéke: [ ]</w:t>
            </w:r>
          </w:p>
        </w:tc>
      </w:tr>
      <w:tr w:rsidR="0022675B" w:rsidRPr="004C6889" w14:paraId="23367E2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6F9AB89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értékhatárt elérő becsült értékű, Kbt. Harmadik Része szerinti összes szolgáltatásmegrendelés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(a Kbt. 3. mellékletében meghatározott szociális és egyéb szolgáltatások)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01E30CF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C91D69C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III.1.4.3) Az uniós értékhatár alatti becsült értékű, Kbt. Harmadik Része szerinti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A Kbt. 117. § szerinti saját beszerzési szabályok szerinti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nyílt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meghívásos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Gyorsított tárgyalásos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Előzetes/időszakos előzetes tájékoztatóval meghirdetett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Versenypárbeszéd/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Innovációs partnerség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113. § szerinti meghívásos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A Kbt. 113. § szerinti tárgyalásos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nyílt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 Kbt. 115. § szerinti hirdetmény nélküli tárgyalásos eljárás / Száma: [ ] Összértéke: [ ]</w:t>
            </w:r>
          </w:p>
        </w:tc>
      </w:tr>
      <w:tr w:rsidR="0022675B" w:rsidRPr="004C6889" w14:paraId="74564EE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7547F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Az uniós értékhatás alatti, Kbt. Harmadik Része szerinti összes szolgáltatásmegrendelés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B78EAA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E1D0C9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III.1.4.4) A szolgáltatásmegrendelés fő tárgy szerinti CPV kódok alapján történő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</w:p>
        </w:tc>
      </w:tr>
      <w:tr w:rsidR="0022675B" w:rsidRPr="004C6889" w14:paraId="6C2E8F8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8CDD9E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Második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Az uniós értékhatárt elérő becsült értékű, Kbt. Harmadik Része szerinti összes szolgáltatásmegrendelés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(a Kbt. 3. mellékletében meghatározott szociális és egyéb szolgáltatások)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A Kbt. Harmadik Része</w:t>
            </w:r>
            <w:r w:rsidRPr="004C6889">
              <w:rPr>
                <w:rFonts w:ascii="Times New Roman" w:hAnsi="Times New Roman"/>
                <w:sz w:val="20"/>
              </w:rPr>
              <w:br/>
              <w:t>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</w:t>
            </w:r>
          </w:p>
        </w:tc>
      </w:tr>
      <w:tr w:rsidR="0022675B" w:rsidRPr="004C6889" w14:paraId="7EBCFC5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145D303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III.1.5) Szolgáltatási koncesszió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  <w:t>HUF-ban kell megadni)</w:t>
            </w:r>
          </w:p>
        </w:tc>
      </w:tr>
      <w:tr w:rsidR="0022675B" w:rsidRPr="004C6889" w14:paraId="3BA71CA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328B4A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III.1.5.1) A Kbt. Negyedik Része szerinti uniós értékhatárt elérő becsült értékű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Hirdetmény közzétételével induló tárgyalás nélküli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közzétételével induló tárgyalás megtartásával lefolytatott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közzététele nélküli tárgyalás nélküli koncessziós beszerzési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 megtartásával lefolytatott koncessziós beszerzési eljárás / Száma: [ ] Összértéke: [ ]</w:t>
            </w:r>
          </w:p>
        </w:tc>
      </w:tr>
      <w:tr w:rsidR="0022675B" w:rsidRPr="004C6889" w14:paraId="2667431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502C5B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Negyedik Része szerinti uniós értékhatárt elérő becsült értékű összes szolgáltatási koncesszió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5B73FA86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286764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III.1.5.2) A Kbt. Negyedik Része szerinti nemzeti értékhatárt elérő becsült értékű eljárások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Hirdetmény közzétételével induló tárgyalás nélküli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közzétételével induló tárgyalás megtartásával lefolytatott koncessziós beszerzési eljárás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közzététele nélküli tárgyalás nélküli koncessziós beszerzési eljárás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Hirdetmény nélküli tárgyalás megtartásával lefolytatott koncessziós beszerzési eljárás / Száma: [ ] Összértéke: [ ]</w:t>
            </w:r>
          </w:p>
        </w:tc>
      </w:tr>
      <w:tr w:rsidR="0022675B" w:rsidRPr="004C6889" w14:paraId="4F3D06C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B5ECF2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 Kbt. Negyedik Része szerinti nemzeti értékhatárt elérő becsült értékű összes szolgáltatási koncesszió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022EFDBE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3398EFA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III.1.5.3) A szolgáltatási koncessziók fő tárgy szerinti CPV kódok alapján történő összesítése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</w:p>
        </w:tc>
      </w:tr>
      <w:tr w:rsidR="0022675B" w:rsidRPr="004C6889" w14:paraId="3EC3B2C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FC90B4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Uniós értékhatárt elérő szolgáltatási koncessziók</w:t>
            </w:r>
            <w:r w:rsidRPr="004C6889">
              <w:rPr>
                <w:rFonts w:ascii="Times New Roman" w:hAnsi="Times New Roman"/>
                <w:sz w:val="20"/>
              </w:rPr>
              <w:br/>
              <w:t>□ 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Nemzeti értékhatárt elérő szolgáltatási koncessziók</w:t>
            </w:r>
            <w:r w:rsidRPr="004C6889">
              <w:rPr>
                <w:rFonts w:ascii="Times New Roman" w:hAnsi="Times New Roman"/>
                <w:sz w:val="20"/>
              </w:rPr>
              <w:br/>
              <w:t>□ Fő CPV-kód: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[ ][ ] . [ ][ ] . [ ][ ] . [ ][ ] - [ ] / Száma: [ ] Összértéke: [ ]</w:t>
            </w:r>
          </w:p>
        </w:tc>
      </w:tr>
      <w:tr w:rsidR="0022675B" w:rsidRPr="004C6889" w14:paraId="494E83D2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4ADC43E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III.2) A tárgyalásos eljárások alapján megvalósított közbeszerzések összesítése</w:t>
            </w:r>
          </w:p>
        </w:tc>
      </w:tr>
      <w:tr w:rsidR="0022675B" w:rsidRPr="004C6889" w14:paraId="51825F59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423EE85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III.2.1) Árubeszerzés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78AC1FD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190BCEA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III.2.1.1) Az uniós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Második Része szerinti jogcímek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</w:t>
            </w:r>
          </w:p>
        </w:tc>
      </w:tr>
      <w:tr w:rsidR="0022675B" w:rsidRPr="004C6889" w14:paraId="23FFD5E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4E7C3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Az uniós értékhatár feletti árubeszerzések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0A05685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8BD8789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III.2.1.2) Az uniós értékhatár alatti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Harmadik Része szerinti jogcímek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(4)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113. § (1) bekezdés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114. § (9) bekezdés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115. § (1) bekezdés / Száma: [ ] Összértéke: [ ]</w:t>
            </w:r>
          </w:p>
        </w:tc>
      </w:tr>
      <w:tr w:rsidR="0022675B" w:rsidRPr="004C6889" w14:paraId="3BFC6B9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C8095B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alatti árubeszerzések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0524CA0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DB85F1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III.2.2) Építési beruházás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64069AA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F672BC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III.2.2.1) Az uniós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Második Része szerinti jogcímek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(3) bekezdés / Száma: [ ] Összértéke: [ ]</w:t>
            </w:r>
          </w:p>
        </w:tc>
      </w:tr>
      <w:tr w:rsidR="0022675B" w:rsidRPr="004C6889" w14:paraId="08A4881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C68B995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feletti építési beruházások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652BD936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B0475E7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III.2.2.2) Az uniós értékhatár alatti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Harmadik Része szerinti jogcímek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(3) bekezdés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113. § (1) bekezdés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114. § (9) bekezdés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115. § (1) bekezdés / Száma: [ ] Összértéke: [ ]</w:t>
            </w:r>
          </w:p>
        </w:tc>
      </w:tr>
      <w:tr w:rsidR="0022675B" w:rsidRPr="004C6889" w14:paraId="44F3F33A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E38D29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Az uniós értékhatár alatti építési beruházások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D0E44B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DC6C20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III.2.3) Szolgáltatásmegrendelés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32E5F22A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76FB0F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III.2.3.1) Az uniós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Második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(5) bekezdés / Száma: [ ] Összértéke: [ ]</w:t>
            </w:r>
          </w:p>
        </w:tc>
      </w:tr>
      <w:tr w:rsidR="0022675B" w:rsidRPr="004C6889" w14:paraId="1141FD8D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A8812B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feletti szolgáltatásmegrendelések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028B18D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BA8B74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III.2.3.2) Az uniós értékhatár alatti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Harmadik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85.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c)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d)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(2)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e)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98. § (5) bekezdés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113. § (1) bekezdés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114. § (9) bekezdés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115. § (1) bekezdés / Száma: [ ] Összértéke: [ ]</w:t>
            </w:r>
          </w:p>
        </w:tc>
      </w:tr>
      <w:tr w:rsidR="0022675B" w:rsidRPr="004C6889" w14:paraId="2792D6AA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D4412D2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alatti szolgáltatásmegrendelések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47A5061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741F01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III.2.4) Építési koncesszió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431210F4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0E66DE1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III.2.4.1) Az uniós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Negyedik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118. §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129. § / Száma: [ ] Összértéke: [ ]</w:t>
            </w:r>
          </w:p>
        </w:tc>
      </w:tr>
      <w:tr w:rsidR="0022675B" w:rsidRPr="004C6889" w14:paraId="3EE1C878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7212DAB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Az uniós értékhatár feletti építési koncessziók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52EAE554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6D48B2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III.2.4.2) A nemzeti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Negyedik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118. §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129. § / Száma: [ ] Összértéke: [ ]</w:t>
            </w:r>
          </w:p>
        </w:tc>
      </w:tr>
      <w:tr w:rsidR="0022675B" w:rsidRPr="004C6889" w14:paraId="1C5F9BBF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86CAE1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alatti építési koncessziók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109BCDA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AE6BDBD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III.2.5) Szolgáltatási koncesszió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1B2E9859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D9EABB9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III.2.5.1) Az uniós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Negyedik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118. §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129. § / Száma: [ ] Összértéke: [ ]</w:t>
            </w:r>
          </w:p>
        </w:tc>
      </w:tr>
      <w:tr w:rsidR="0022675B" w:rsidRPr="004C6889" w14:paraId="798D53C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5975463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feletti szolgáltatási koncessziók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115EF02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3DD4A049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III.2.5.2) A nemzeti értékhatárt elérő becsült értékű eljárások részletezése a Kbt. szerinti jogcím alapján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Kbt. Negyedik Része</w:t>
            </w:r>
            <w:r w:rsidRPr="004C6889">
              <w:rPr>
                <w:rFonts w:ascii="Times New Roman" w:hAnsi="Times New Roman"/>
                <w:sz w:val="20"/>
              </w:rPr>
              <w:br/>
              <w:t>□ Kbt. 118. §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128. § (1) bekezdés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b) </w:t>
            </w:r>
            <w:r w:rsidRPr="004C6889">
              <w:rPr>
                <w:rFonts w:ascii="Times New Roman" w:hAnsi="Times New Roman"/>
                <w:sz w:val="20"/>
              </w:rPr>
              <w:t>pont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Kbt. 129. § / Száma: [ ] Összértéke: [ ]</w:t>
            </w:r>
          </w:p>
        </w:tc>
      </w:tr>
      <w:tr w:rsidR="0022675B" w:rsidRPr="004C6889" w14:paraId="59C12054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17ED513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Az uniós értékhatár alatti szolgáltatási koncessziók összesítése tárgyalásos eljárások esetében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8F7D0B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1021BF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 szakasz: Kiegészítő információk</w:t>
            </w:r>
          </w:p>
        </w:tc>
      </w:tr>
      <w:tr w:rsidR="0022675B" w:rsidRPr="004C6889" w14:paraId="163434CF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2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60DB060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IV.1) Kiegészítő információk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(valamennyi mezőben érték kizárólag arab számmal adható meg, a szerződések értékét HUF-ban kell megadni)</w:t>
            </w:r>
          </w:p>
        </w:tc>
      </w:tr>
      <w:tr w:rsidR="0022675B" w:rsidRPr="004C6889" w14:paraId="3F0C6FC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BDAAC2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IV.1.1) A WTO Közbeszerzési Megállapodás (GPA) hatálya alá nem tartozó, az uniós értékhatárokat elérő vagy azt meghaladó értékű közbeszerzések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5282CD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B27E92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IV.1.2) A központosított közbeszerzési eljárásban beszerzett áruk/szolgáltatások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Összértéke: [ ]</w:t>
            </w:r>
          </w:p>
        </w:tc>
      </w:tr>
      <w:tr w:rsidR="0022675B" w:rsidRPr="004C6889" w14:paraId="3A60770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14C623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IV.1.3) Elektronikus árlejtések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2ECB8096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21C21C7C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IV.1.4) Keretmegállapodások alapján megkötött szerződések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30DC907C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010D58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IV.1.5) Dinamikus beszerzési rendszerek alapján megkötött szerződések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3F37CC81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89FA2DE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IV.1.6) Környezetvédelmi szempontok (zöld közbeszerzés) szerinti közbeszerzések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Szerződéses feltételként meghatározott szempontok alapján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lastRenderedPageBreak/>
              <w:t>□ Értékelési szempontként meghatározott feltételek alapján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Műszaki leírásban meghatározott szempontok alapján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Alkalmassági feltételek körében meghatározott szempontok alapján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Alkalmassági feltételek körében meghatározott környezetvédelmi vezetési rendszerek alapján / Száma: [ ] Összértéke: [ ]</w:t>
            </w:r>
          </w:p>
        </w:tc>
      </w:tr>
      <w:tr w:rsidR="0022675B" w:rsidRPr="004C6889" w14:paraId="46092233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5AAD50F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lastRenderedPageBreak/>
              <w:t>Környezetvédelmi szempontok (zöld közbeszerzés) szerinti beszerzések összesítése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1552A22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771D70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IV.1.7) Szociális szempontok figyelembe vételével történt közbeszerzések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□ Szerződéses feltételként meghatározott szempontok alapján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Értékelési szempontként meghatározott feltételek alapján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Műszaki leírásban meghatározott szempontok alapján / Száma: [ ] Összértéke: [ ]</w:t>
            </w:r>
            <w:r w:rsidRPr="004C6889">
              <w:rPr>
                <w:rFonts w:ascii="Times New Roman" w:hAnsi="Times New Roman"/>
                <w:sz w:val="20"/>
              </w:rPr>
              <w:br/>
              <w:t>□ Alkalmassági feltételek körében meghatározott szempontok alapján / Száma: [ ] Összértéke: [ ] </w:t>
            </w:r>
            <w:r w:rsidRPr="004C6889">
              <w:rPr>
                <w:rFonts w:ascii="Times New Roman" w:hAnsi="Times New Roman"/>
                <w:sz w:val="20"/>
              </w:rPr>
              <w:br/>
              <w:t>□ Védett műhelyek számára fenntartott szerződések / Száma: [ ] Összértéke: [ ]</w:t>
            </w:r>
          </w:p>
        </w:tc>
      </w:tr>
      <w:tr w:rsidR="0022675B" w:rsidRPr="004C6889" w14:paraId="4E8C41C9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E2362A6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sz w:val="20"/>
              </w:rPr>
              <w:t>Szociális szempontok szerinti beszerzések összesítése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135997B7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5C4A0CC" w14:textId="77777777" w:rsidR="0022675B" w:rsidRPr="004C6889" w:rsidRDefault="0022675B" w:rsidP="004A0D79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IV.1.8) Európai uniós alapokból finanszírozott közbeszerzések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</w:t>
            </w:r>
            <w:r w:rsidR="00457DE8">
              <w:rPr>
                <w:rFonts w:ascii="Times New Roman" w:hAnsi="Times New Roman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 xml:space="preserve"> ] Összértéke: []</w:t>
            </w:r>
          </w:p>
        </w:tc>
      </w:tr>
      <w:tr w:rsidR="0022675B" w:rsidRPr="004C6889" w14:paraId="6DF1C680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F1E06A4" w14:textId="77777777" w:rsidR="0022675B" w:rsidRPr="004C6889" w:rsidRDefault="0022675B" w:rsidP="002C4EBE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IV.1.9) A mikro-, kis- és középvállalkozások által elnyert közbeszerzések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b/>
                <w:bCs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457DE8">
              <w:rPr>
                <w:rFonts w:ascii="Times New Roman" w:hAnsi="Times New Roman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 xml:space="preserve"> ] Összértéke: []</w:t>
            </w:r>
          </w:p>
        </w:tc>
      </w:tr>
      <w:tr w:rsidR="0022675B" w:rsidRPr="004C6889" w14:paraId="444829D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6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F58FF5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IV.1.10) A mikro-, kis- és középvállalkozások számára fenntartott közbeszerzések </w:t>
            </w:r>
            <w:r w:rsidRPr="004C6889">
              <w:rPr>
                <w:rFonts w:ascii="Times New Roman" w:hAnsi="Times New Roman"/>
                <w:sz w:val="20"/>
              </w:rPr>
              <w:t>[Kbt. 114. § (1) bekezdés]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position w:val="10"/>
                <w:sz w:val="20"/>
              </w:rPr>
              <w:br/>
            </w:r>
            <w:r w:rsidRPr="004C6889">
              <w:rPr>
                <w:rFonts w:ascii="Times New Roman" w:hAnsi="Times New Roman"/>
                <w:sz w:val="20"/>
              </w:rPr>
              <w:t>Száma: [ ] Összértéke: [ ]</w:t>
            </w:r>
          </w:p>
        </w:tc>
      </w:tr>
      <w:tr w:rsidR="0022675B" w:rsidRPr="004C6889" w14:paraId="1B21E565" w14:textId="77777777" w:rsidTr="009502A2">
        <w:trPr>
          <w:trHeight w:val="375"/>
          <w:jc w:val="center"/>
        </w:trPr>
        <w:tc>
          <w:tcPr>
            <w:tcW w:w="5000" w:type="pct"/>
            <w:gridSpan w:val="6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1F79B503" w14:textId="77777777" w:rsidR="0022675B" w:rsidRPr="004C6889" w:rsidRDefault="0022675B" w:rsidP="002C4EBE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b/>
                <w:bCs/>
                <w:sz w:val="20"/>
              </w:rPr>
              <w:t>IV.2) Az összegezés feladásának dátuma: </w:t>
            </w:r>
          </w:p>
        </w:tc>
      </w:tr>
      <w:tr w:rsidR="0022675B" w:rsidRPr="004C6889" w14:paraId="239DF38E" w14:textId="77777777" w:rsidTr="009502A2">
        <w:trPr>
          <w:trHeight w:val="375"/>
          <w:jc w:val="center"/>
        </w:trPr>
        <w:tc>
          <w:tcPr>
            <w:tcW w:w="2422" w:type="pct"/>
            <w:gridSpan w:val="4"/>
            <w:tcBorders>
              <w:top w:val="single" w:sz="2" w:space="0" w:color="B1B1B1"/>
              <w:left w:val="single" w:sz="2" w:space="0" w:color="B1B1B1"/>
              <w:bottom w:val="single" w:sz="6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E6A1B1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78" w:type="pct"/>
            <w:gridSpan w:val="2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479E6BE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  <w:tr w:rsidR="0022675B" w:rsidRPr="004C6889" w14:paraId="4743B100" w14:textId="77777777" w:rsidTr="009502A2">
        <w:trPr>
          <w:trHeight w:val="375"/>
          <w:jc w:val="center"/>
        </w:trPr>
        <w:tc>
          <w:tcPr>
            <w:tcW w:w="2422" w:type="pct"/>
            <w:gridSpan w:val="4"/>
            <w:tcBorders>
              <w:top w:val="single" w:sz="6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7D954D5F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578" w:type="pct"/>
            <w:gridSpan w:val="2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63C63DF4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  <w:tr w:rsidR="0022675B" w:rsidRPr="004C6889" w14:paraId="6B8BA4E4" w14:textId="77777777" w:rsidTr="009502A2">
        <w:trPr>
          <w:trHeight w:val="375"/>
          <w:jc w:val="center"/>
        </w:trPr>
        <w:tc>
          <w:tcPr>
            <w:tcW w:w="2422" w:type="pct"/>
            <w:gridSpan w:val="4"/>
            <w:tcBorders>
              <w:top w:val="single" w:sz="2" w:space="0" w:color="B1B1B1"/>
              <w:left w:val="single" w:sz="2" w:space="0" w:color="B1B1B1"/>
              <w:bottom w:val="single" w:sz="2" w:space="0" w:color="B1B1B1"/>
              <w:right w:val="single" w:sz="2" w:space="0" w:color="B1B1B1"/>
            </w:tcBorders>
            <w:shd w:val="clear" w:color="auto" w:fill="auto"/>
            <w:tcMar>
              <w:top w:w="30" w:type="dxa"/>
              <w:left w:w="60" w:type="dxa"/>
              <w:bottom w:w="30" w:type="dxa"/>
              <w:right w:w="60" w:type="dxa"/>
            </w:tcMar>
            <w:hideMark/>
          </w:tcPr>
          <w:p w14:paraId="0AEA3468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  <w:r w:rsidRPr="004C6889">
              <w:rPr>
                <w:rFonts w:ascii="Times New Roman" w:hAnsi="Times New Roman"/>
                <w:position w:val="10"/>
                <w:sz w:val="20"/>
              </w:rPr>
              <w:t>1</w:t>
            </w:r>
            <w:r w:rsidRPr="004C6889">
              <w:rPr>
                <w:rFonts w:ascii="Times New Roman" w:hAnsi="Times New Roman"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szükség szerinti számban ismételje meg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br/>
            </w:r>
            <w:r w:rsidRPr="004C6889">
              <w:rPr>
                <w:rFonts w:ascii="Times New Roman" w:hAnsi="Times New Roman"/>
                <w:position w:val="10"/>
                <w:sz w:val="20"/>
              </w:rPr>
              <w:t>2</w:t>
            </w:r>
            <w:r w:rsidRPr="004C6889">
              <w:rPr>
                <w:rFonts w:ascii="Times New Roman" w:hAnsi="Times New Roman"/>
                <w:sz w:val="20"/>
              </w:rPr>
              <w:t> </w:t>
            </w:r>
            <w:r w:rsidRPr="004C6889">
              <w:rPr>
                <w:rFonts w:ascii="Times New Roman" w:hAnsi="Times New Roman"/>
                <w:i/>
                <w:iCs/>
                <w:sz w:val="20"/>
              </w:rPr>
              <w:t>adott esetben</w:t>
            </w:r>
          </w:p>
        </w:tc>
        <w:tc>
          <w:tcPr>
            <w:tcW w:w="2578" w:type="pct"/>
            <w:gridSpan w:val="2"/>
            <w:shd w:val="clear" w:color="auto" w:fill="auto"/>
            <w:vAlign w:val="center"/>
            <w:hideMark/>
          </w:tcPr>
          <w:p w14:paraId="55E9205E" w14:textId="77777777" w:rsidR="0022675B" w:rsidRPr="004C6889" w:rsidRDefault="0022675B" w:rsidP="009502A2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6741AA7F" w14:textId="77777777" w:rsidR="0022675B" w:rsidRDefault="0022675B" w:rsidP="0022675B"/>
    <w:p w14:paraId="5D36CB16" w14:textId="77777777" w:rsidR="00561364" w:rsidRDefault="00561364"/>
    <w:sectPr w:rsidR="00561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74B"/>
    <w:rsid w:val="000C5804"/>
    <w:rsid w:val="001D374B"/>
    <w:rsid w:val="0022675B"/>
    <w:rsid w:val="002C4EBE"/>
    <w:rsid w:val="00457DE8"/>
    <w:rsid w:val="004A0D79"/>
    <w:rsid w:val="00561364"/>
    <w:rsid w:val="006203BA"/>
    <w:rsid w:val="008A3D06"/>
    <w:rsid w:val="00BC24BF"/>
    <w:rsid w:val="00CC6763"/>
    <w:rsid w:val="00D2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4C916"/>
  <w15:chartTrackingRefBased/>
  <w15:docId w15:val="{3C7E1924-5DEC-4F70-A304-1B6450E1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2675B"/>
    <w:pPr>
      <w:spacing w:after="0" w:line="240" w:lineRule="auto"/>
    </w:pPr>
    <w:rPr>
      <w:rFonts w:ascii="Tahoma" w:eastAsia="Times New Roman" w:hAnsi="Tahoma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3434</Words>
  <Characters>23698</Characters>
  <Application>Microsoft Office Word</Application>
  <DocSecurity>0</DocSecurity>
  <Lines>197</Lines>
  <Paragraphs>54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cp:keywords/>
  <dc:description/>
  <cp:lastModifiedBy>PHBABOLNA</cp:lastModifiedBy>
  <cp:revision>3</cp:revision>
  <dcterms:created xsi:type="dcterms:W3CDTF">2022-02-04T07:56:00Z</dcterms:created>
  <dcterms:modified xsi:type="dcterms:W3CDTF">2022-02-04T08:02:00Z</dcterms:modified>
</cp:coreProperties>
</file>